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第133期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2026年4月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每周资讯|实施积极的财政政策和宽松的货币政策；3月国内市场手机出货量同降7.1%；深南电路发布拟投资46</w:t>
      </w:r>
      <w:bookmarkStart w:id="0" w:name="_GoBack"/>
      <w:bookmarkEnd w:id="0"/>
      <w:r>
        <w:rPr>
          <w:rFonts w:hint="eastAsia" w:ascii="Arial" w:hAnsi="Arial" w:eastAsia="黑体" w:cs="Times New Roman"/>
          <w:b/>
          <w:kern w:val="2"/>
          <w:sz w:val="32"/>
          <w:szCs w:val="24"/>
          <w:highlight w:val="none"/>
          <w:lang w:val="en-US" w:eastAsia="zh-CN" w:bidi="ar-SA"/>
        </w:rPr>
        <w:t>亿元扩产.</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75977C15">
      <w:pPr>
        <w:spacing w:line="360" w:lineRule="auto"/>
        <w:jc w:val="center"/>
        <w:rPr>
          <w:rFonts w:hint="default" w:ascii="黑体" w:hAnsi="黑体" w:eastAsia="黑体" w:cs="黑体"/>
          <w:b/>
          <w:bCs/>
          <w:sz w:val="32"/>
          <w:szCs w:val="24"/>
          <w:lang w:val="en-US" w:eastAsia="zh-CN"/>
        </w:rPr>
      </w:pPr>
      <w:r>
        <w:rPr>
          <w:rFonts w:hint="default" w:ascii="黑体" w:hAnsi="黑体" w:eastAsia="黑体" w:cs="黑体"/>
          <w:b/>
          <w:bCs/>
          <w:sz w:val="32"/>
          <w:szCs w:val="24"/>
          <w:lang w:val="en-US" w:eastAsia="zh-CN"/>
        </w:rPr>
        <w:t>实施更加积极的财政政策和适度宽松的货币政策</w:t>
      </w:r>
    </w:p>
    <w:p w14:paraId="7ABB717D">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28日，中共中央政治局召开会议，分析研究当前经济形势和经济工作。会议强调，要精准有效实施更加积极的财政政策和适度宽松的货币政策。用好用足宏观政策。持续优化财政支出结构。要深入挖掘内需潜力。保持制造业合理比重。深入整治“内卷式”竞争。加强水网、新型电网、算力网、新一代通信网、城市地下管网、物流网等规划建设。全面实施“人工智能+”行动，完善人工智能治理。系统应对外部冲击挑战，提高能源资源安全保障水平。努力稳定房地产市场。着力解决拖欠企业账款问题。稳定和增强资本市场信心。（中国证券报）</w:t>
      </w:r>
    </w:p>
    <w:p w14:paraId="580A0AF9">
      <w:pPr>
        <w:spacing w:line="360" w:lineRule="auto"/>
        <w:jc w:val="left"/>
        <w:rPr>
          <w:rFonts w:hint="default" w:ascii="Times New Roman" w:hAnsi="Times New Roman" w:eastAsia="仿宋" w:cs="Times New Roman"/>
          <w:sz w:val="32"/>
          <w:szCs w:val="24"/>
          <w:highlight w:val="none"/>
          <w:lang w:val="en-US" w:eastAsia="zh-CN"/>
        </w:rPr>
      </w:pP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工信部：将开展“人工智能+软件”专项行动，加快智能编程研发应用</w:t>
      </w:r>
    </w:p>
    <w:p w14:paraId="19DE262A">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 4月28日，国新办举行国务院政策例行吹风会，介绍《关于推进服务业扩能提质的意见》有关情况。工业和信息化部副部长柯吉欣在会上表示，工信部将推进生产性服务业向专业化和价值链高端延伸，加快推动软件和信息技术服务业创新发展。尤其是在人工智能赋能信息服务业方面，开展“人工智能+软件”专项行动，加快智能编程研发应用，培育模型即服务、智能体即服务等相关新业态。进一步加强开源生态建设，推动基础软件、工业软件智能化升级。健全制造业数智化转型服务体系，分类分级培育优质的数智化转型服务商。深入实施工业互联网创新发展工程，有序推进算力布局和边缘算力建设，完善智算云服务体系。实施工业数据筑基行动，建设一批工业领域高质量数据集。着力“强软件服务、绘数智新篇”，为我国服务业高质量发展注入新的活力。(新华社)</w:t>
      </w:r>
    </w:p>
    <w:p w14:paraId="7BC305D6">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一季度经济大省“挑大梁”更有力，新质生产力加速释放增长动能</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4月27日，据证券时报，截至4月25日，全国31个省份一季度地区生产总值（GDP）数据悉数出炉。据证券时报记者统计，一季度，共有15个省份经济增速在全国整体水平（5.0%）及以上，其中，经济大省占了10个。江西、天津、甘肃、青海、西藏等省份增速也均在5.0%或以上。受访专家认为，一季度全国经济运行呈现“大省领跑、多点支撑”的良好格局，为全国经济稳定增长提供坚实支撑，而以高技术制造业为代表的新质生产力拉动经济增长的动能加速释放，成为多地核心增长引擎。(证券时报)</w:t>
      </w:r>
    </w:p>
    <w:p w14:paraId="124D9179">
      <w:pPr>
        <w:spacing w:line="360" w:lineRule="auto"/>
        <w:ind w:firstLine="640" w:firstLineChars="200"/>
        <w:jc w:val="left"/>
        <w:rPr>
          <w:rFonts w:hint="eastAsia" w:ascii="Times New Roman" w:hAnsi="Times New Roman" w:eastAsia="仿宋" w:cs="Times New Roman"/>
          <w:sz w:val="32"/>
          <w:szCs w:val="24"/>
          <w:lang w:val="en-US" w:eastAsia="zh-CN"/>
        </w:rPr>
      </w:pPr>
    </w:p>
    <w:p w14:paraId="34FC2685">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国家统计局：一季度全国规模以上工业企业利润同比增长15.5%</w:t>
      </w:r>
    </w:p>
    <w:p w14:paraId="1A3FB7C5">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27日，国家统计局公布的一季度规模以上工业企业利润数据显示，工业利润延续两位数高增态势，盈利质量同步稳步改善。一季度，全国规模以上工业企业利润同比增长15.5%，较1—2月份加快，3月单月增速进一步抬升，叠加营收利润率创下2023年以来同期新高、单位成本持续下行、产销衔接持续优化，工业企业经营效益全面修复。与此同时，装备制造、高技术制造业发力领跑，多个新兴产业、原材料重点行业利润实现翻倍增长，产业升级动能持续释放。（财联社）</w:t>
      </w:r>
    </w:p>
    <w:p w14:paraId="3A0DA171">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中电联：预计今年太阳能发电装机规模将首次超过煤电</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28日，中国电力企业联合会发布《2026年一季度全国电力供需形势分析预测报告》。作为“十五五”开局首季，电力行业呈现“消费向好、结构向优、投资向新、保障有力”四大特征，用电量稳步增长，新能源装机提速。《报告》预测，二季度全社会用电量增速约5%，全年新增新能源发电装机有望超过3亿千瓦；迎峰度夏期间全国电力供需基本平衡，局部地区电力供需平衡偏紧。(新华社)</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604B155C">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截至3月底，我国电动汽车充电基础设施总数达2148.1万个</w:t>
      </w:r>
    </w:p>
    <w:p w14:paraId="3773793A">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27日，从国家能源局举行的例行新闻发布会获悉，截至2026年3月底，我国电动汽车充电基础设施总数达到2148.1万个，同比增长46.9%。其中，公共充电设施486.3万个，额定总功率达到2.34亿千瓦；私人充电设施1661.8万个，报装用电容量达到1.47亿千伏安。（财联社）</w:t>
      </w: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中国信通院：3月国内市场手机出货量2115.0万部，同比下降7.1%</w:t>
      </w:r>
    </w:p>
    <w:p w14:paraId="0CC4D70F">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27日，中国信通院发布数据显示，2026年3月，国内市场手机出货量2115.0万部，同比下降7.1%，其中，5G手机1966.7万部，同比增长1.3%，占同期手机出货量的93.0%。2026年1-3月，国内市场手机出货量6080.5万部，同比下降12.7%，其中，5G手机5546.8万部，同比下降9.1%，占同期手机出货量的91.2%。（界面新闻）</w:t>
      </w:r>
    </w:p>
    <w:p w14:paraId="16D8ABEC">
      <w:pPr>
        <w:spacing w:line="360" w:lineRule="auto"/>
        <w:jc w:val="left"/>
        <w:rPr>
          <w:rFonts w:hint="eastAsia" w:ascii="Times New Roman" w:hAnsi="Times New Roman" w:eastAsia="仿宋" w:cs="Times New Roman"/>
          <w:sz w:val="32"/>
          <w:szCs w:val="24"/>
          <w:highlight w:val="none"/>
          <w:lang w:val="en-US" w:eastAsia="zh-CN"/>
        </w:rPr>
      </w:pPr>
    </w:p>
    <w:p w14:paraId="50FB3B0B">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今年一季度全国可再生能源新增装机5893万千瓦</w:t>
      </w:r>
    </w:p>
    <w:p w14:paraId="392183C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27日电，国家能源局新能源司副司长潘慧敏在4月27日举行的国家能源局例行新闻发布会上介绍，今年一季度，全国可再生能源新增装机5893万千瓦，占新增装机的70%。其中，水电新增并网142万千瓦，风电新增并网1577万千瓦，光伏发电新增并网4119万千瓦，生物质发电新增并网35万千瓦，光热发电新增并网20万千瓦。（财联社）</w:t>
      </w: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兆驰股份2026年加码研发加速1.6T光模块攻关</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29日，2026年，兆驰股份将持续加大研发投入，重点推进1.6T超高速光模块研发。公司已于2026年4月28日业绩说明会上披露该计划，地点为深圳（公司总部）。作为产业升级核心战略，光通信业务已构建覆盖光芯片、光器件、光模块的垂直产业链。目前200G及以下光模块已规模化量产，400G/800G完成可靠性测试并进入小批量生产。加速1.6T研发旨在保持技术迭代领先，支撑未来高速数据中心与AI算力网络需求。（Donews）</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普诺威申请公开发行股票并在北交所上市</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29日,崇达技术公告称，公司于2026年4月27日召开第六届董事会第五次会议，审议通过了《关于控股子公司拟申请向不特定合格投资者公开发行股票并在北京证券交易所上市的议案》，同意公司控股子公司江苏普诺威电子股份有限公司申请向不特定合格投资者公开发行股票并在北京证券交易所上市.普诺威成立于2004年4月9日，注册资本14185万元，崇达技术持股比例为47.7913%，为其控股股东。（财联社）</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崇达技术：拟将深圳崇达产线迁至珠海崇达，优化大湾区产能布局</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29日,崇达技术公告称，公司于2026年4月27日召开第六届董事会第五次会议，拟将深圳崇达产线迁至珠海崇达，优化大湾区产能布局。本次产线搬迁及业务整合背景主要包括三方面：一是深圳崇达承租的主体厂房租赁期限受限，公司决定不再续租；二是珠海崇达自有厂房土地，总占地26万㎡，已建成两期生产基地，拥有先进设备与智能管理系统，在生产效率、质量控制等方面具备优势；三是两家子公司业务范围、覆盖区域重叠度高，整合有利于集中管理资源、共享供应链体系、优化人员配置，实现大湾区业务协同发展并发挥规模效应，更好匹配高端市场需求。（证券之星）</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广信材料：拟对全资子公司江西广臻增资</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4月28日，广信材料发布公告称，为进一步增强江西广臻资本实力，增强其业务可持续发展能力，促进公司及子公司经营发展，加快公司整体战略发展目标的实现，公司拟使用自有资金对江西广臻增资约1.03亿元。本次增资完成后，江西广臻注册资本由人民币约2.47亿元增加至人民币3.5亿元，公司仍持有江西广臻100%股权，江西广臻仍为公司全资子公司。（南方网）</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生益科技拟投资约52亿元加码高性能覆铜板项目</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4月25日，生益科技公告称，公司拟投资约52亿元在东莞企石镇建设“松山湖第二工厂”高性能覆铜板项目。项目产品定位为汽车领域、5G通讯领域和AI服务器用高频、高速产品，封装领域用封装基板材料产品及高密度产品。预计年产4800万平方米覆铜板（约3840万张）及1亿米商品粘结片。项目分两期建设：一期投资约30亿元，预计2028年投产；二期投资约22亿元。据公司测算，满产后预计年销售收入约92.95亿元，年利润约13.9亿元。（</w:t>
      </w:r>
      <w:r>
        <w:rPr>
          <w:rFonts w:hint="eastAsia" w:ascii="Times New Roman" w:hAnsi="Times New Roman" w:eastAsia="仿宋" w:cs="Times New Roman"/>
          <w:sz w:val="32"/>
          <w:szCs w:val="24"/>
          <w:highlight w:val="none"/>
          <w:lang w:val="en-US" w:eastAsia="zh-CN"/>
        </w:rPr>
        <w:t>光纤在线）</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深南电路发布拟投资46亿元扩建高端产能</w:t>
      </w:r>
    </w:p>
    <w:p w14:paraId="75F646C9">
      <w:pPr>
        <w:spacing w:line="360" w:lineRule="auto"/>
        <w:ind w:firstLine="640" w:firstLineChars="200"/>
        <w:jc w:val="left"/>
        <w:rPr>
          <w:rFonts w:hint="default" w:ascii="Times New Roman" w:hAnsi="Times New Roman" w:eastAsia="仿宋" w:cs="Times New Roman"/>
          <w:kern w:val="0"/>
          <w:sz w:val="24"/>
          <w:szCs w:val="24"/>
          <w:lang w:val="en-US" w:eastAsia="zh-CN" w:bidi="ar"/>
        </w:rPr>
      </w:pPr>
      <w:r>
        <w:rPr>
          <w:rFonts w:hint="eastAsia" w:ascii="Times New Roman" w:hAnsi="Times New Roman" w:eastAsia="仿宋" w:cs="Times New Roman"/>
          <w:b w:val="0"/>
          <w:bCs w:val="0"/>
          <w:sz w:val="32"/>
          <w:szCs w:val="24"/>
          <w:highlight w:val="none"/>
          <w:lang w:val="en-US" w:eastAsia="zh-CN"/>
        </w:rPr>
        <w:t>4月24日晚，深南电路发布公告，拟投资46亿元在江苏无锡扩建高端产能，以图抢抓市场窗口期。根据最新披露的季度报告，2026年第一季度，深南电路实现营业收入65.96亿元，同比增长37.90%；归母净利润8.5亿元，同比增长73.01%深南电路解释，得益于AI算力升级及存储市场需求增长，公司产品结构优化，400G 以上高速交换机、光模块占比同比提升，数据中心收入同比增长，产能利用率提升，推动营收和利润双增。</w:t>
      </w:r>
      <w:r>
        <w:rPr>
          <w:rFonts w:hint="eastAsia" w:ascii="Times New Roman" w:hAnsi="Times New Roman" w:eastAsia="仿宋" w:cs="Times New Roman"/>
          <w:sz w:val="32"/>
          <w:szCs w:val="24"/>
          <w:highlight w:val="none"/>
          <w:lang w:val="en-US" w:eastAsia="zh-CN"/>
        </w:rPr>
        <w:t>（WIND）</w:t>
      </w:r>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5"/>
                    <a:stretch>
                      <a:fillRect/>
                    </a:stretch>
                  </pic:blipFill>
                  <pic:spPr>
                    <a:xfrm>
                      <a:off x="0" y="0"/>
                      <a:ext cx="5273675" cy="3503295"/>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DD40F6"/>
    <w:rsid w:val="0E73679E"/>
    <w:rsid w:val="0FAD6545"/>
    <w:rsid w:val="10CF4D8A"/>
    <w:rsid w:val="1CDA2E0B"/>
    <w:rsid w:val="21A60DC4"/>
    <w:rsid w:val="225C17EC"/>
    <w:rsid w:val="25AF1BE4"/>
    <w:rsid w:val="25B55B0A"/>
    <w:rsid w:val="25EE16C9"/>
    <w:rsid w:val="264A2919"/>
    <w:rsid w:val="266175BF"/>
    <w:rsid w:val="28C049EA"/>
    <w:rsid w:val="29163431"/>
    <w:rsid w:val="2BF15CE7"/>
    <w:rsid w:val="2DC669A6"/>
    <w:rsid w:val="315179C6"/>
    <w:rsid w:val="33C137F8"/>
    <w:rsid w:val="38AD19AF"/>
    <w:rsid w:val="3A522D3D"/>
    <w:rsid w:val="3A6D2312"/>
    <w:rsid w:val="3B265F2E"/>
    <w:rsid w:val="3EDF266A"/>
    <w:rsid w:val="3FDD3C4F"/>
    <w:rsid w:val="45F31C63"/>
    <w:rsid w:val="4B543446"/>
    <w:rsid w:val="50EA418D"/>
    <w:rsid w:val="521E7BC5"/>
    <w:rsid w:val="52793D86"/>
    <w:rsid w:val="53A662DF"/>
    <w:rsid w:val="596C1A28"/>
    <w:rsid w:val="59E7637A"/>
    <w:rsid w:val="61E21505"/>
    <w:rsid w:val="624D40D3"/>
    <w:rsid w:val="62E354DE"/>
    <w:rsid w:val="632528C9"/>
    <w:rsid w:val="642D34F2"/>
    <w:rsid w:val="64592EAE"/>
    <w:rsid w:val="65326415"/>
    <w:rsid w:val="65FB0E53"/>
    <w:rsid w:val="68D47E6F"/>
    <w:rsid w:val="692244D0"/>
    <w:rsid w:val="6968585F"/>
    <w:rsid w:val="6BCE176C"/>
    <w:rsid w:val="6D8365BD"/>
    <w:rsid w:val="6E2A4350"/>
    <w:rsid w:val="6F0F1346"/>
    <w:rsid w:val="6F57027E"/>
    <w:rsid w:val="71313AC1"/>
    <w:rsid w:val="72DB7A02"/>
    <w:rsid w:val="72DE08AE"/>
    <w:rsid w:val="77B64349"/>
    <w:rsid w:val="78404F59"/>
    <w:rsid w:val="78D0113A"/>
    <w:rsid w:val="79120DC0"/>
    <w:rsid w:val="7C6C3669"/>
    <w:rsid w:val="7DC1685E"/>
    <w:rsid w:val="7E48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2761</Words>
  <Characters>3004</Characters>
  <Lines>0</Lines>
  <Paragraphs>0</Paragraphs>
  <TotalTime>222</TotalTime>
  <ScaleCrop>false</ScaleCrop>
  <LinksUpToDate>false</LinksUpToDate>
  <CharactersWithSpaces>3048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2026-04-29T05:52:58Z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2052-12.1.0.25865</vt:lpwstr>
  </property>
  <property fmtid="{D5CDD505-2E9C-101B-9397-08002B2CF9AE}" pid="4" name="ICV">
    <vt:lpwstr>8F7F6B9ABC28438A9279C8B618D6CB59_13</vt:lpwstr>
  </property>
</Properties>
</file>