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第124期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2026年1月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每周资讯|2026年宏观政策倾斜全方位扩大国内需求；芯片领域涨价潮蔓延；久祥科技喜获新三板挂牌..</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75977C15">
      <w:pPr>
        <w:spacing w:line="360" w:lineRule="auto"/>
        <w:jc w:val="center"/>
        <w:rPr>
          <w:rFonts w:hint="default" w:ascii="黑体" w:hAnsi="黑体" w:eastAsia="黑体" w:cs="黑体"/>
          <w:b/>
          <w:bCs/>
          <w:sz w:val="32"/>
          <w:szCs w:val="24"/>
          <w:lang w:val="en-US" w:eastAsia="zh-CN"/>
        </w:rPr>
      </w:pPr>
      <w:r>
        <w:rPr>
          <w:rFonts w:hint="default" w:ascii="黑体" w:hAnsi="黑体" w:eastAsia="黑体" w:cs="黑体"/>
          <w:b/>
          <w:bCs/>
          <w:sz w:val="32"/>
          <w:szCs w:val="24"/>
          <w:lang w:val="en-US" w:eastAsia="zh-CN"/>
        </w:rPr>
        <w:t>美联储宣布维持基准利率不变</w:t>
      </w:r>
    </w:p>
    <w:p w14:paraId="33825C44">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highlight w:val="none"/>
          <w:lang w:val="en-US" w:eastAsia="zh-CN"/>
        </w:rPr>
        <w:t>1月29日，美联储维持基准利率在3.50%-3.75%不变，在连续三次降息25个基点后暂停行动，符合市场预期。美联储主席候选人沃勒支持降息25个基点，与特朗普“钦点”理事米兰立场一致。美联储在声明中指出，失业率已现初步企稳迹象，通胀仍处于相对高位，经济前景的不确定性依然较高。美联储主席鲍威尔在新闻发布会上表示，加息并非任何人对下一步行动的基本假设，不相信美联储会丧失独立性，将建议下一届美联储主席远离政治。</w:t>
      </w:r>
      <w:r>
        <w:rPr>
          <w:rFonts w:hint="eastAsia" w:ascii="Times New Roman" w:hAnsi="Times New Roman" w:eastAsia="仿宋" w:cs="Times New Roman"/>
          <w:sz w:val="32"/>
          <w:szCs w:val="24"/>
          <w:lang w:val="en-US" w:eastAsia="zh-CN"/>
        </w:rPr>
        <w:t>(环球播报)</w:t>
      </w:r>
    </w:p>
    <w:p w14:paraId="7ABB717D">
      <w:pPr>
        <w:spacing w:line="360" w:lineRule="auto"/>
        <w:jc w:val="left"/>
        <w:rPr>
          <w:rFonts w:hint="default" w:ascii="Times New Roman" w:hAnsi="Times New Roman" w:eastAsia="仿宋" w:cs="Times New Roman"/>
          <w:sz w:val="32"/>
          <w:szCs w:val="24"/>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国务院国资委党委召开专题党委会议强调，要大力发展战略性新兴产业和未来产业</w:t>
      </w:r>
    </w:p>
    <w:p w14:paraId="76B2C3B0">
      <w:pPr>
        <w:spacing w:line="360" w:lineRule="auto"/>
        <w:ind w:firstLine="640" w:firstLineChars="200"/>
        <w:jc w:val="left"/>
        <w:rPr>
          <w:rFonts w:hint="default" w:ascii="Times New Roman" w:hAnsi="Times New Roman" w:eastAsia="仿宋" w:cs="Times New Roman"/>
          <w:sz w:val="32"/>
          <w:szCs w:val="24"/>
          <w:lang w:eastAsia="zh-CN"/>
        </w:rPr>
      </w:pPr>
      <w:r>
        <w:rPr>
          <w:rFonts w:hint="eastAsia" w:ascii="Times New Roman" w:hAnsi="Times New Roman" w:eastAsia="仿宋" w:cs="Times New Roman"/>
          <w:sz w:val="32"/>
          <w:szCs w:val="24"/>
          <w:lang w:val="en-US" w:eastAsia="zh-CN"/>
        </w:rPr>
        <w:t>2月2日，国务院国资委党委召开专题党委会议，认真传达学习习近平总书记在主持中央政治局第24次集体学习时的重要讲话精神，紧密结合国资央企实际研究贯彻落实举措，强调要把学习贯彻习近平总书记重要讲话精神与持续深入学习贯彻总书记对国资央企工作的重要指示批示精神贯通起来，主动站位党和国家事业发展全局谋划和推进各项工作，聚焦解决影响制约国家发展安全和长远利益的重大科技问题，强化自主创新、原始创新，抓好新兴产业和未来产业培育，加快打造引领未来竞争的新兴支柱产业，更好助力现代化产业体系建设。</w:t>
      </w:r>
      <w:r>
        <w:rPr>
          <w:rFonts w:hint="default" w:ascii="Times New Roman" w:hAnsi="Times New Roman" w:eastAsia="仿宋" w:cs="Times New Roman"/>
          <w:sz w:val="32"/>
          <w:szCs w:val="24"/>
          <w:lang w:eastAsia="zh-CN"/>
        </w:rPr>
        <w:t>（</w:t>
      </w:r>
      <w:r>
        <w:rPr>
          <w:rFonts w:hint="eastAsia" w:ascii="Times New Roman" w:hAnsi="Times New Roman" w:eastAsia="仿宋" w:cs="Times New Roman"/>
          <w:sz w:val="32"/>
          <w:szCs w:val="24"/>
          <w:lang w:val="en-US" w:eastAsia="zh-CN"/>
        </w:rPr>
        <w:t>国务院国有资产监督管理委员会</w:t>
      </w:r>
      <w:r>
        <w:rPr>
          <w:rFonts w:hint="default" w:ascii="Times New Roman" w:hAnsi="Times New Roman" w:eastAsia="仿宋" w:cs="Times New Roman"/>
          <w:sz w:val="32"/>
          <w:szCs w:val="24"/>
          <w:lang w:eastAsia="zh-CN"/>
        </w:rPr>
        <w:t>）</w:t>
      </w:r>
    </w:p>
    <w:p w14:paraId="19DE262A">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多个经济大省将2026年GDP增长目标定在5%以上</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2月3日，四川、江苏、上海、内蒙古、宁夏和湖南等省份人代会开幕，至此，除安徽外全国30个省份人代会均已召开，各地2025年经济社会主要预期目标也相继揭晓。从经济增长目标来看，各地大多确定在5%左右，其中，多个经济大省将目标定在5%以上。上海市《政府工作报告》提出，2026年GDP目标增长5%左右。在集成电路、人工智能等领域加快实施一批重大产业项目，积极支持智能网联新能源汽车、航空航天等产业发展。(经济参考报)</w:t>
      </w: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7C8E59C1">
      <w:pPr>
        <w:spacing w:line="360" w:lineRule="auto"/>
        <w:jc w:val="left"/>
        <w:rPr>
          <w:rFonts w:hint="default" w:ascii="Times New Roman" w:hAnsi="Times New Roman" w:eastAsia="仿宋" w:cs="Times New Roman"/>
          <w:sz w:val="32"/>
          <w:szCs w:val="24"/>
          <w:lang w:val="en-US" w:eastAsia="zh-CN"/>
        </w:rPr>
      </w:pP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截至2025年底全国累计发电装机容量38.9亿千瓦</w:t>
      </w:r>
    </w:p>
    <w:p w14:paraId="7C6138AF">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1月28日，从国家能源局获悉，截至2025年底，全国累计发电装机容量38.9亿千瓦，同比增长16.1%。其中，太阳能发电装机容量12.0亿千瓦，同比增长35.4%；风电装机容量6.4亿千瓦，同比增长22.9%。2025年，全国6000千瓦及以上电厂发电设备累计平均利用3119小时，比上年同期减少312小时。（新华网）</w:t>
      </w:r>
    </w:p>
    <w:p w14:paraId="0A6CCC96">
      <w:pPr>
        <w:spacing w:line="360" w:lineRule="auto"/>
        <w:jc w:val="left"/>
        <w:rPr>
          <w:rFonts w:hint="eastAsia" w:ascii="Times New Roman" w:hAnsi="Times New Roman" w:eastAsia="仿宋" w:cs="Times New Roman"/>
          <w:sz w:val="32"/>
          <w:szCs w:val="24"/>
          <w:highlight w:val="none"/>
          <w:lang w:val="en-US" w:eastAsia="zh-CN"/>
        </w:rPr>
      </w:pPr>
    </w:p>
    <w:p w14:paraId="33A15B1C">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商务部：1月全国家电以旧换新、数码和智能产品购新销售量超1500万台</w:t>
      </w:r>
    </w:p>
    <w:p w14:paraId="3773793A">
      <w:pPr>
        <w:spacing w:line="360" w:lineRule="auto"/>
        <w:ind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2月3日，据商务部，2026年，商务部深入贯彻落实党中央、国务院决策部署，会同各地区、各部门优化实施家电以旧换新及数码和智能产品购新补贴政策，支持线下实体零售发展，推广绿色智能产品，政策效应逐步显现。数据显示，1月，6类家电产品以旧换新及4类数码和智能产品购新销售量超1500万台，销售额近590亿元。（商务部）</w:t>
      </w:r>
    </w:p>
    <w:p w14:paraId="687CE414">
      <w:pPr>
        <w:spacing w:line="360" w:lineRule="auto"/>
        <w:jc w:val="left"/>
        <w:rPr>
          <w:rFonts w:hint="eastAsia" w:ascii="Times New Roman" w:hAnsi="Times New Roman" w:eastAsia="仿宋" w:cs="Times New Roman"/>
          <w:sz w:val="32"/>
          <w:szCs w:val="24"/>
          <w:highlight w:val="none"/>
          <w:lang w:val="en-US" w:eastAsia="zh-CN"/>
        </w:rPr>
      </w:pPr>
    </w:p>
    <w:p w14:paraId="25DBDAD7">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芯片领域涨价潮蔓延，多家公司产品涨价</w:t>
      </w:r>
    </w:p>
    <w:p w14:paraId="3D28962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1月28日，全球芯片领域掀新一轮涨价潮。消息称，三星电子、SK海力士已经完成与苹果谈判，大幅上调iPhone所用LPDDR内存的价格，三星报价涨幅超过80%，SK海力士则接近100%。国内方面，中微半导宣布调整MCU、Norflash等产品价格，涨幅15%-50%；国科微宣布KGD产品涨价，幅度40%-80%。（华尔街见闻）</w:t>
      </w:r>
    </w:p>
    <w:p w14:paraId="05A092A5">
      <w:pPr>
        <w:spacing w:line="360" w:lineRule="auto"/>
        <w:jc w:val="left"/>
        <w:rPr>
          <w:rFonts w:hint="eastAsia" w:ascii="Times New Roman" w:hAnsi="Times New Roman" w:eastAsia="仿宋" w:cs="Times New Roman"/>
          <w:sz w:val="32"/>
          <w:szCs w:val="24"/>
          <w:highlight w:val="none"/>
          <w:lang w:val="en-US" w:eastAsia="zh-CN"/>
        </w:rPr>
      </w:pPr>
    </w:p>
    <w:p w14:paraId="28472752">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2025年全国规模以上工业企业利润增长0.6%</w:t>
      </w:r>
    </w:p>
    <w:p w14:paraId="2D795CB1">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1月27日，2025年，全国规模以上工业企业实现利润总额73982.0亿元，比上年增长0.6%。2025年制造业实现利润总额56915.7亿元，增长5.0%；电力、热力、燃气及水生产和供应业实现利润总额8721.2亿元，增长9.4%。2025年，主要行业利润情况如下：专用设备制造业增长5.7%，电气机械和器材制造业增长4.9%，通用设备制造业增长4.2%，汽车制造业增长0.6%，石油、煤炭及其他燃料加工业比上年减亏，非金属矿物制品业下降1.7%，化学原料和化学制品制造业下降7.3%。（华尔街见闻）</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金安国纪拟定增募资不超13亿元推进覆铜板项目</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2月3日，金安国纪公告，公司拟向不超过35名特定投资者发行A股股票，募集资金总额不超过129,995.39万元。所募资金将用于年产4,000万平方米高等级覆铜板项目和研发中心建设项目。此次发行旨在优化产品结构、突破产能瓶颈、提升研发能力，并增强公司在高端覆铜板市场的竞争力。（蓝鲸新闻）</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久祥科技喜获新三板挂牌</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1月29日，湖北“专精特新”专板培育层企业--湖北久祥电子科技股份有限公司获全国股转公司同意挂牌函，成为今年湖北首家获批新三板挂牌的企业。久祥科技成立于2011年，是荆门市引进的小间距封装载板产能头部企业，专注于LED半导体封装基板的研发、生产与销售，公司通过了ISO9001、ISO14001、ISO45001等国际质量体系认证。（同壁财经）</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Clawdbot近期在海外科技圈爆火，成为现象级产品</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1月27日，Clawdbot近期在海外科技圈爆火，被部分观点视为2026年的“ChatGPT时刻”。这款24小时自动运行的AI助手，能处理信息、浏览网页并主动通过通讯工具与用户互动，被视为未来智能体（Agent）网络的雏形。其成功推动了市场对Agent生态的重新审视，引发关于交互入口（如Meta、腾讯）、内容与API基建（如Cloudflare）以及用户注意力价值等核心环节的讨论。（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广合科技：拟使用募集资金10,000万元向全资子公司黄石广合增资实施募投项目</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 xml:space="preserve"> 1月29日，广合科技公告称，公司召开第二届董事会第二十一次会议，审议通过《关于使用募集资金向全资子公司增资实施募投项目的议案》，同意公司使用部分募集资金向全资子公司黄石广合精密电路有限公司增资，以实施募投项目。根据公告，公司拟使用募集资金人民币10,000万元对黄石广合进行增资。本次增资完成后，黄石广合的注册资本将从68,000万元增加至78,000万元，增资前后公司均持有其100%股权。（每日经济新闻）</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景旺电子总部工厂正式投产</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1月31日</w:t>
      </w:r>
      <w:bookmarkStart w:id="0" w:name="_GoBack"/>
      <w:bookmarkEnd w:id="0"/>
      <w:r>
        <w:rPr>
          <w:rFonts w:hint="eastAsia" w:ascii="Times New Roman" w:hAnsi="Times New Roman" w:eastAsia="仿宋" w:cs="Times New Roman"/>
          <w:b w:val="0"/>
          <w:bCs w:val="0"/>
          <w:sz w:val="32"/>
          <w:szCs w:val="24"/>
          <w:highlight w:val="none"/>
          <w:lang w:val="en-US" w:eastAsia="zh-CN"/>
        </w:rPr>
        <w:t>，景旺电子在深圳宝安隆重举行景嘉智能制造大厦落成暨半导体封装基板及高端高密度印制电路智能制造基地项目投产庆典。景嘉智能制造大厦是景旺电子倾力打造的高端印制电路板智能制造基地与标杆总部工厂，集布局合理、结构清晰、环境优雅、生态和谐与可持续发展于一体。项目位于深圳市宝安区燕罗街道，占地面积18,000平方米，总建筑面积92,000平方米，总投资20亿元，可容纳员工约2000名，是景旺电子的“总部母工厂”。</w:t>
      </w:r>
      <w:r>
        <w:rPr>
          <w:rFonts w:hint="eastAsia" w:ascii="Times New Roman" w:hAnsi="Times New Roman" w:eastAsia="仿宋" w:cs="Times New Roman"/>
          <w:sz w:val="32"/>
          <w:szCs w:val="24"/>
          <w:highlight w:val="none"/>
          <w:lang w:val="en-US" w:eastAsia="zh-CN"/>
        </w:rPr>
        <w:t>（证券时报）</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大族激光：控股子公司大族数控境外上市股份(H股)挂牌并上市交易</w:t>
      </w:r>
    </w:p>
    <w:p w14:paraId="2A5E7CBA">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2月6日，大族激光公布，经香港联交所批准，大族数控本次发行的H股股票（行使超额配售权之前）于2026年2月6日在香港联交所主板挂牌并上市交易。大族数控H股股票中文简称“大族數控”，英文简称“HANS CNC”，股票代码“03200”。大族数控本次发行上市后，公司仍将维持对大族数控的控制权。</w:t>
      </w:r>
      <w:r>
        <w:rPr>
          <w:rFonts w:hint="eastAsia" w:ascii="Times New Roman" w:hAnsi="Times New Roman" w:eastAsia="仿宋" w:cs="Times New Roman"/>
          <w:sz w:val="32"/>
          <w:szCs w:val="24"/>
          <w:highlight w:val="none"/>
          <w:lang w:val="en-US" w:eastAsia="zh-CN"/>
        </w:rPr>
        <w:t>（证券时报）</w:t>
      </w:r>
    </w:p>
    <w:p w14:paraId="452C8668">
      <w:pPr>
        <w:spacing w:line="360" w:lineRule="auto"/>
        <w:jc w:val="left"/>
        <w:rPr>
          <w:rFonts w:hint="eastAsia" w:ascii="Times New Roman" w:hAnsi="Times New Roman" w:eastAsia="仿宋" w:cs="Times New Roman"/>
          <w:sz w:val="32"/>
          <w:szCs w:val="24"/>
          <w:highlight w:val="none"/>
          <w:lang w:val="en-US" w:eastAsia="zh-CN"/>
        </w:rPr>
      </w:pPr>
    </w:p>
    <w:p w14:paraId="75F646C9">
      <w:pPr>
        <w:keepNext w:val="0"/>
        <w:keepLines w:val="0"/>
        <w:widowControl/>
        <w:suppressLineNumbers w:val="0"/>
        <w:spacing w:before="0" w:beforeAutospacing="1" w:after="0" w:afterAutospacing="1" w:line="360" w:lineRule="auto"/>
        <w:ind w:left="0" w:right="0"/>
        <w:jc w:val="left"/>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drawing>
          <wp:inline distT="0" distB="0" distL="114300" distR="114300">
            <wp:extent cx="5273040" cy="3502660"/>
            <wp:effectExtent l="0" t="0" r="10160" b="2540"/>
            <wp:docPr id="2" name="图片 2" descr="edd44b14db9bc0cd9628a36ef92810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d44b14db9bc0cd9628a36ef928100e"/>
                    <pic:cNvPicPr>
                      <a:picLocks noChangeAspect="1"/>
                    </pic:cNvPicPr>
                  </pic:nvPicPr>
                  <pic:blipFill>
                    <a:blip r:embed="rId5"/>
                    <a:stretch>
                      <a:fillRect/>
                    </a:stretch>
                  </pic:blipFill>
                  <pic:spPr>
                    <a:xfrm>
                      <a:off x="0" y="0"/>
                      <a:ext cx="5273040" cy="3502660"/>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264A2919"/>
    <w:rsid w:val="2DC669A6"/>
    <w:rsid w:val="50EA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2725</Words>
  <Characters>3110</Characters>
  <Lines>0</Lines>
  <Paragraphs>0</Paragraphs>
  <TotalTime>383</TotalTime>
  <ScaleCrop>false</ScaleCrop>
  <LinksUpToDate>false</LinksUpToDate>
  <CharactersWithSpaces>3157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国旗</cp:lastModifiedBy>
  <cp:lastPrinted>2021-09-23T03:57:00Z</cp:lastPrinted>
  <dcterms:modified xsi:type="dcterms:W3CDTF">2026-02-09T06:18:59Z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2052-12.1.0.25225</vt:lpwstr>
  </property>
  <property fmtid="{D5CDD505-2E9C-101B-9397-08002B2CF9AE}" pid="4" name="ICV">
    <vt:lpwstr>BCFAFE8DEDA941F5BCEBB090BB6C4DA8_13</vt:lpwstr>
  </property>
</Properties>
</file>