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第123期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2026年1月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每周资讯|2026年宏观政策倾斜全方位扩大国内需求；我国电动汽车充电设施数量突破2000万个；世运电路泰国工厂预一季度开始投产</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2026年宏观政策要把发力点放在做强国内大循环上，全方位扩大国内需求</w:t>
      </w:r>
    </w:p>
    <w:p w14:paraId="59368A05">
      <w:pPr>
        <w:ind w:firstLine="640" w:firstLineChars="200"/>
        <w:rPr>
          <w:rFonts w:hint="eastAsia" w:ascii="Times New Roman" w:eastAsia="仿宋"/>
          <w:lang w:val="en-US" w:eastAsia="zh-CN"/>
        </w:rPr>
      </w:pPr>
      <w:r>
        <w:rPr>
          <w:rFonts w:hint="eastAsia" w:ascii="Times New Roman" w:eastAsia="仿宋"/>
          <w:highlight w:val="none"/>
          <w:lang w:val="en-US" w:eastAsia="zh-CN"/>
        </w:rPr>
        <w:t>1月</w:t>
      </w:r>
      <w:r>
        <w:rPr>
          <w:rFonts w:hint="eastAsia"/>
          <w:highlight w:val="none"/>
          <w:lang w:val="en-US" w:eastAsia="zh-CN"/>
        </w:rPr>
        <w:t>20</w:t>
      </w:r>
      <w:r>
        <w:rPr>
          <w:rFonts w:hint="eastAsia" w:ascii="Times New Roman" w:eastAsia="仿宋"/>
          <w:highlight w:val="none"/>
          <w:lang w:val="en-US" w:eastAsia="zh-CN"/>
        </w:rPr>
        <w:t>日上午，国家发改委有关负责人介绍，2026年宏观政策要把发力点放在做强国内大循环上，全方位扩大国内需求。其中，将优化“两新”政策的支持范围和补贴标准；研究制定出台扩大内需战略实施方案，研究制定城乡居民增收计划；研究设立国家级并购基金，谋划推进一批“十五五”时期高技术产业标志性引领性重大工程；研究制定全国统一大市场建设条例，综合整治“内卷式”竞争。</w:t>
      </w:r>
      <w:r>
        <w:rPr>
          <w:rFonts w:hint="eastAsia" w:ascii="Times New Roman" w:eastAsia="仿宋"/>
          <w:lang w:val="en-US" w:eastAsia="zh-CN"/>
        </w:rPr>
        <w:t>(</w:t>
      </w:r>
      <w:r>
        <w:rPr>
          <w:rFonts w:hint="eastAsia"/>
          <w:lang w:val="en-US" w:eastAsia="zh-CN"/>
        </w:rPr>
        <w:t>国家发改委</w:t>
      </w:r>
      <w:r>
        <w:rPr>
          <w:rFonts w:hint="eastAsia" w:ascii="Times New Roman" w:eastAsia="仿宋"/>
          <w:lang w:val="en-US" w:eastAsia="zh-CN"/>
        </w:rPr>
        <w:t>)</w:t>
      </w:r>
    </w:p>
    <w:p w14:paraId="6F754882">
      <w:pPr>
        <w:rPr>
          <w:rFonts w:hint="default" w:ascii="Times New Roman" w:eastAsia="仿宋"/>
          <w:lang w:val="en-US" w:eastAsia="zh-CN"/>
        </w:rPr>
      </w:pPr>
    </w:p>
    <w:p w14:paraId="437493A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2026年财政总体支出力度“只增不减”！财政部最新发声</w:t>
      </w:r>
    </w:p>
    <w:p w14:paraId="15B3AA0E">
      <w:pPr>
        <w:ind w:firstLine="640" w:firstLineChars="200"/>
        <w:jc w:val="left"/>
        <w:rPr>
          <w:rFonts w:hint="default"/>
          <w:lang w:eastAsia="zh-CN"/>
        </w:rPr>
      </w:pPr>
      <w:r>
        <w:rPr>
          <w:rFonts w:hint="eastAsia" w:ascii="Times New Roman" w:eastAsia="仿宋"/>
          <w:lang w:val="en-US" w:eastAsia="zh-CN"/>
        </w:rPr>
        <w:t>1月</w:t>
      </w:r>
      <w:r>
        <w:rPr>
          <w:rFonts w:hint="eastAsia"/>
          <w:lang w:val="en-US" w:eastAsia="zh-CN"/>
        </w:rPr>
        <w:t>20</w:t>
      </w:r>
      <w:r>
        <w:rPr>
          <w:rFonts w:hint="eastAsia" w:ascii="Times New Roman" w:eastAsia="仿宋"/>
          <w:lang w:val="en-US" w:eastAsia="zh-CN"/>
        </w:rPr>
        <w:t>日，财政部有关负责人介绍，2026年财政赤字、债务总规模和支出总量将保持必要水平，确保总体支出力度“只增不减”、重点领域保障“只强不弱”。2026年将继续安排超长期特别国债，用于“两重”建设和“两新”工作，并优化政策。</w:t>
      </w:r>
      <w:r>
        <w:rPr>
          <w:rFonts w:hint="default"/>
          <w:lang w:eastAsia="zh-CN"/>
        </w:rPr>
        <w:t>（</w:t>
      </w:r>
      <w:r>
        <w:rPr>
          <w:rFonts w:hint="eastAsia"/>
          <w:lang w:val="en-US" w:eastAsia="zh-CN"/>
        </w:rPr>
        <w:t>中国政府网</w:t>
      </w:r>
      <w:r>
        <w:rPr>
          <w:rFonts w:hint="default"/>
          <w:lang w:eastAsia="zh-CN"/>
        </w:rPr>
        <w:t>）</w:t>
      </w:r>
    </w:p>
    <w:p w14:paraId="0069FC55">
      <w:pPr>
        <w:jc w:val="left"/>
        <w:rPr>
          <w:rFonts w:hint="eastAsia"/>
          <w:lang w:val="en-US" w:eastAsia="zh-CN"/>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我国对外投资连续9年保持世界前三</w:t>
      </w:r>
    </w:p>
    <w:p w14:paraId="31D4B605">
      <w:pPr>
        <w:ind w:firstLine="640" w:firstLineChars="200"/>
        <w:jc w:val="left"/>
        <w:rPr>
          <w:rFonts w:hint="eastAsia"/>
          <w:lang w:val="en-US" w:eastAsia="zh-CN"/>
        </w:rPr>
      </w:pPr>
      <w:r>
        <w:rPr>
          <w:rFonts w:hint="eastAsia"/>
          <w:lang w:val="en-US" w:eastAsia="zh-CN"/>
        </w:rPr>
        <w:t>1月20日，记者从商务部了解到，2025年我国对外非金融类直接投资同比增长1.3%，稳居世界前列。据介绍，2025年，我国对外非金融类直接投资1456.6亿美元，同比增长1.3%，对外投资连续9年保持世界前三。对外承包工程新签合同额2892.2亿美元，增长8.2%，规模成效不断提升；对外援助质效持续提升，有力服务共建“一带一路”高质量发展。(经济参考报)</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22774C64">
      <w:pPr>
        <w:rPr>
          <w:rFonts w:hint="eastAsia" w:ascii="Times New Roman" w:eastAsia="仿宋"/>
          <w:lang w:val="en-US" w:eastAsia="zh-CN"/>
        </w:rPr>
      </w:pP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工信部：2025年我国人工智能核心产业规模预计达1.2万亿元</w:t>
      </w:r>
    </w:p>
    <w:p w14:paraId="0086B014">
      <w:pPr>
        <w:ind w:firstLine="640" w:firstLineChars="200"/>
        <w:rPr>
          <w:rFonts w:hint="eastAsia"/>
          <w:highlight w:val="none"/>
          <w:lang w:val="en-US" w:eastAsia="zh-CN"/>
        </w:rPr>
      </w:pPr>
      <w:r>
        <w:rPr>
          <w:rFonts w:hint="eastAsia"/>
          <w:highlight w:val="none"/>
          <w:lang w:val="en-US" w:eastAsia="zh-CN"/>
        </w:rPr>
        <w:t>1月21日，国新办举行新闻发布会介绍2025年工业和信息化发展成效。工业和信息化部副部长张云明表示，2025年是中国人工智能产业活力迸发、亮点纷呈的一年。据有关机构测算，2025年我国人工智能企业数量超过6000家，核心产业规模预计突破1.2万亿元。目前人工智能应用已覆盖钢铁、有色、电力、通信等重点行业，逐渐深入到产品研发、质量检测、客户服务等重点环节。（国新办）</w:t>
      </w:r>
    </w:p>
    <w:p w14:paraId="1BDF8913">
      <w:pPr>
        <w:rPr>
          <w:rFonts w:hint="eastAsia"/>
          <w:highlight w:val="none"/>
          <w:lang w:val="en-US" w:eastAsia="zh-CN"/>
        </w:rPr>
      </w:pPr>
    </w:p>
    <w:p w14:paraId="08914781">
      <w:pPr>
        <w:ind w:firstLine="643" w:firstLineChars="200"/>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我国电动汽车充电设施数量突破2000万个</w:t>
      </w:r>
    </w:p>
    <w:p w14:paraId="7BDACAB8">
      <w:pPr>
        <w:ind w:firstLine="640" w:firstLineChars="200"/>
        <w:rPr>
          <w:rFonts w:hint="eastAsia" w:ascii="Times New Roman" w:eastAsia="仿宋"/>
          <w:highlight w:val="none"/>
          <w:lang w:val="en-US" w:eastAsia="zh-CN"/>
        </w:rPr>
      </w:pPr>
      <w:r>
        <w:rPr>
          <w:rFonts w:hint="eastAsia"/>
          <w:highlight w:val="none"/>
          <w:lang w:val="en-US" w:eastAsia="zh-CN"/>
        </w:rPr>
        <w:t>1月21日，</w:t>
      </w:r>
      <w:r>
        <w:rPr>
          <w:rFonts w:hint="eastAsia" w:ascii="Times New Roman" w:eastAsia="仿宋"/>
          <w:highlight w:val="none"/>
          <w:lang w:val="en-US" w:eastAsia="zh-CN"/>
        </w:rPr>
        <w:t>至2025年12月底，我国电动汽车充电设施数量达到2009.2万个，突破2000万大关。其中，公共充电设施（枪）471.7万个，私人充电设施（枪）1537.5万个。目前，我国已建成全球最大的电动汽车充电网络，支撑了超4000万辆新能源汽车的充电需求。2025年我国充电设施发展持续提质升级，总体呈现三方面的特点：一是规模增长更快</w:t>
      </w:r>
      <w:r>
        <w:rPr>
          <w:rFonts w:hint="eastAsia"/>
          <w:highlight w:val="none"/>
          <w:lang w:val="en-US" w:eastAsia="zh-CN"/>
        </w:rPr>
        <w:t>；</w:t>
      </w:r>
      <w:r>
        <w:rPr>
          <w:rFonts w:hint="eastAsia" w:ascii="Times New Roman" w:eastAsia="仿宋"/>
          <w:highlight w:val="none"/>
          <w:lang w:val="en-US" w:eastAsia="zh-CN"/>
        </w:rPr>
        <w:t>二是充电效率更高</w:t>
      </w:r>
      <w:r>
        <w:rPr>
          <w:rFonts w:hint="eastAsia"/>
          <w:highlight w:val="none"/>
          <w:lang w:val="en-US" w:eastAsia="zh-CN"/>
        </w:rPr>
        <w:t>；</w:t>
      </w:r>
      <w:r>
        <w:rPr>
          <w:rFonts w:hint="eastAsia" w:ascii="Times New Roman" w:eastAsia="仿宋"/>
          <w:highlight w:val="none"/>
          <w:lang w:val="en-US" w:eastAsia="zh-CN"/>
        </w:rPr>
        <w:t>三是设施覆盖更</w:t>
      </w:r>
      <w:r>
        <w:rPr>
          <w:rFonts w:hint="eastAsia"/>
          <w:highlight w:val="none"/>
          <w:lang w:val="en-US" w:eastAsia="zh-CN"/>
        </w:rPr>
        <w:t>广。</w:t>
      </w:r>
      <w:r>
        <w:rPr>
          <w:rFonts w:hint="eastAsia" w:ascii="Times New Roman" w:eastAsia="仿宋"/>
          <w:highlight w:val="none"/>
          <w:lang w:val="en-US" w:eastAsia="zh-CN"/>
        </w:rPr>
        <w:t>（WIND）</w:t>
      </w:r>
    </w:p>
    <w:p w14:paraId="71662F38">
      <w:pPr>
        <w:ind w:firstLine="640" w:firstLineChars="200"/>
        <w:rPr>
          <w:rFonts w:hint="eastAsia" w:ascii="Times New Roman" w:eastAsia="仿宋"/>
          <w:highlight w:val="none"/>
          <w:lang w:val="en-US" w:eastAsia="zh-CN"/>
        </w:rPr>
      </w:pPr>
    </w:p>
    <w:p w14:paraId="0539DF7B">
      <w:pPr>
        <w:ind w:firstLine="643" w:firstLineChars="200"/>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高盛：预计2026年AI服务器PCB与CCL市场将分别增长113%与142%</w:t>
      </w:r>
    </w:p>
    <w:p w14:paraId="1217861A">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1月</w:t>
      </w:r>
      <w:r>
        <w:rPr>
          <w:rFonts w:hint="eastAsia"/>
          <w:highlight w:val="none"/>
          <w:lang w:val="en-US" w:eastAsia="zh-CN"/>
        </w:rPr>
        <w:t>21</w:t>
      </w:r>
      <w:r>
        <w:rPr>
          <w:rFonts w:hint="eastAsia" w:ascii="Times New Roman" w:eastAsia="仿宋"/>
          <w:highlight w:val="none"/>
          <w:lang w:val="en-US" w:eastAsia="zh-CN"/>
        </w:rPr>
        <w:t>日，高盛报告指出，AI基建正推动PCB/CCL行业进入超级周期。AI服务器对更高速度（如800G/1.6T）与更大规模的强劲需求，将带动市场规模爆发：预计2026年AI服务器PCB与CCL市场将分别增长113%与142%。技术快速迭代构筑了高壁垒，使头部企业能维持良性竞争并持续获得订单。（</w:t>
      </w:r>
      <w:r>
        <w:rPr>
          <w:rFonts w:hint="eastAsia"/>
          <w:highlight w:val="none"/>
          <w:lang w:val="en-US" w:eastAsia="zh-CN"/>
        </w:rPr>
        <w:t>华尔街见闻</w:t>
      </w:r>
      <w:r>
        <w:rPr>
          <w:rFonts w:hint="eastAsia" w:ascii="Times New Roman" w:eastAsia="仿宋"/>
          <w:highlight w:val="none"/>
          <w:lang w:val="en-US" w:eastAsia="zh-CN"/>
        </w:rPr>
        <w:t>）</w:t>
      </w: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台积电3纳米产能满载至2027年</w:t>
      </w:r>
    </w:p>
    <w:p w14:paraId="78D240EB">
      <w:pPr>
        <w:ind w:firstLine="640" w:firstLineChars="200"/>
        <w:rPr>
          <w:rFonts w:hint="eastAsia" w:ascii="Times New Roman" w:eastAsia="仿宋"/>
          <w:highlight w:val="none"/>
          <w:lang w:val="en-US" w:eastAsia="zh-CN"/>
        </w:rPr>
      </w:pPr>
      <w:r>
        <w:rPr>
          <w:rFonts w:hint="eastAsia"/>
          <w:highlight w:val="none"/>
          <w:lang w:val="en-US" w:eastAsia="zh-CN"/>
        </w:rPr>
        <w:t>1月21日，因人工智能需求爆发，台积电先进3纳米制程面临罕见的生产瓶颈，产能已全数被预订至2027年。 德意志银行分析，台积电产能告急，将为三星电子带来转单良机。 供应链重构引发的“蝴蝶效应”正逐步显现：台积电在相关领域的市场份额预计将从95%微降至90%，这一看似不大的变动，却意味着每年约50亿美元的订单转移。(台湾电子时报)</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大族数控上市聆讯获通过，拟于港交所主板上市</w:t>
      </w:r>
    </w:p>
    <w:p w14:paraId="2DF56610">
      <w:pPr>
        <w:ind w:firstLine="640" w:firstLineChars="200"/>
        <w:jc w:val="left"/>
        <w:rPr>
          <w:rFonts w:hint="eastAsia"/>
          <w:highlight w:val="none"/>
          <w:lang w:val="en-US" w:eastAsia="zh-CN"/>
        </w:rPr>
      </w:pPr>
      <w:r>
        <w:rPr>
          <w:rFonts w:hint="eastAsia"/>
          <w:highlight w:val="none"/>
          <w:lang w:val="en-US" w:eastAsia="zh-CN"/>
        </w:rPr>
        <w:t>1月19日，深圳市大族数控科技股份有限公司上市聆讯获通过，公司将登陆港交所主板上市，独家保荐人为中金公司。公开数据显示，大族数控是中国领先的PCB专用生产设备解决方案服务商，主要从事PCB专用生产设备的研发、生产及销售。</w:t>
      </w:r>
      <w:r>
        <w:rPr>
          <w:rFonts w:hint="eastAsia" w:ascii="Times New Roman" w:eastAsia="仿宋"/>
          <w:highlight w:val="none"/>
          <w:lang w:val="en-US" w:eastAsia="zh-CN"/>
        </w:rPr>
        <w:t>（</w:t>
      </w:r>
      <w:r>
        <w:rPr>
          <w:rFonts w:hint="eastAsia"/>
          <w:highlight w:val="none"/>
          <w:lang w:val="en-US" w:eastAsia="zh-CN"/>
        </w:rPr>
        <w:t>同壁财经</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大族数控拟增加PCB设备生产基地，应对AI算力产业带来的高端设备需求</w:t>
      </w:r>
    </w:p>
    <w:p w14:paraId="7F6246FC">
      <w:pPr>
        <w:ind w:firstLine="640" w:firstLineChars="200"/>
        <w:rPr>
          <w:rFonts w:hint="eastAsia" w:ascii="Times New Roman" w:eastAsia="仿宋"/>
          <w:highlight w:val="none"/>
          <w:lang w:val="en-US" w:eastAsia="zh-CN"/>
        </w:rPr>
      </w:pPr>
      <w:r>
        <w:rPr>
          <w:rFonts w:hint="eastAsia"/>
          <w:highlight w:val="none"/>
          <w:lang w:val="en-US" w:eastAsia="zh-CN"/>
        </w:rPr>
        <w:t>1月19日，深圳市大族数控科技股份有限公司今日发布公告称，公司董事会已审议通过《关于部分募投项目增加实施地点的议案》，决定对首次公开发行股票募集资金投资项目"PCB专用设备生产改扩建项目"增加实施地点，以应对AI算力产业快速发展带来的高端PCB设备市场需求。公告显示，大族数控本次新增的实施地点为"深圳市宝安区福海街道和平社区重庆路12号大族激光智造中心3栋厂房部分场地"。（证券之星）</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天准科技拟投超 3.4 亿元募集资金，向两子公司提供借款支持募投项目</w:t>
      </w:r>
    </w:p>
    <w:p w14:paraId="7C7C5314">
      <w:pPr>
        <w:ind w:firstLine="640" w:firstLineChars="200"/>
        <w:jc w:val="left"/>
        <w:rPr>
          <w:rFonts w:hint="eastAsia"/>
          <w:highlight w:val="none"/>
          <w:lang w:val="en-US" w:eastAsia="zh-CN"/>
        </w:rPr>
      </w:pPr>
      <w:r>
        <w:rPr>
          <w:rFonts w:hint="eastAsia"/>
          <w:highlight w:val="none"/>
          <w:lang w:val="en-US" w:eastAsia="zh-CN"/>
        </w:rPr>
        <w:t xml:space="preserve"> 1 月 17 日，苏州股份有限公司发布公告称，公司于 1 月 16 日召开第四届董事会第二十七次会议，审议通过相关议案，同意使用部分募集资金向全资子公司及控股子公司提供借款，合计借款额度不超过 34,363.61 万元，专项用于募投项目实施。保荐人华泰联合证券有限责任公司已发表核查无异议意见。（每日经济新闻）</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胜宏科技：签署募集资金四方监管协议，用于越南胜宏人工智能HDI项目</w:t>
      </w:r>
    </w:p>
    <w:p w14:paraId="7C971DB2">
      <w:pPr>
        <w:ind w:firstLine="640" w:firstLineChars="200"/>
        <w:rPr>
          <w:rFonts w:hint="eastAsia" w:ascii="Times New Roman" w:eastAsia="仿宋"/>
          <w:highlight w:val="none"/>
          <w:lang w:val="en-US" w:eastAsia="zh-CN"/>
        </w:rPr>
      </w:pPr>
      <w:r>
        <w:rPr>
          <w:rFonts w:hint="eastAsia" w:ascii="Times New Roman" w:eastAsia="仿宋"/>
          <w:b w:val="0"/>
          <w:bCs w:val="0"/>
          <w:highlight w:val="none"/>
          <w:lang w:val="en-US" w:eastAsia="zh-CN"/>
        </w:rPr>
        <w:t>1月16日</w:t>
      </w:r>
      <w:r>
        <w:rPr>
          <w:rFonts w:hint="eastAsia"/>
          <w:b w:val="0"/>
          <w:bCs w:val="0"/>
          <w:highlight w:val="none"/>
          <w:lang w:val="en-US" w:eastAsia="zh-CN"/>
        </w:rPr>
        <w:t>，</w:t>
      </w:r>
      <w:bookmarkStart w:id="0" w:name="_GoBack"/>
      <w:bookmarkEnd w:id="0"/>
      <w:r>
        <w:rPr>
          <w:rFonts w:hint="eastAsia" w:ascii="Times New Roman" w:eastAsia="仿宋"/>
          <w:b w:val="0"/>
          <w:bCs w:val="0"/>
          <w:highlight w:val="none"/>
          <w:lang w:val="en-US" w:eastAsia="zh-CN"/>
        </w:rPr>
        <w:t>胜宏科技公告称，公司及全资孙公司VICTORY GIANT TECHNOLOGY(VIETNAM)CO.,LTD与募集资金专项账户开户银行中国农业银行有限公司河内分行及保荐机构国信证券股份有限公司，于近日签署了《募集资金四方监管协议》。根据公告，该专户仅用于公司募集资金的存储和使用，不得用作其他用途。协议规定了各方的权利与义务，包括银行需按月出具对账单并抄送保荐机构，以及当专户资金支取达到一定金额（如一次或十二个月以内累计超过5000万元人民币或1,870亿越南盾，或达到本次募集资金净额的20%即37,527.74万元人民币或14,035亿越南盾）时需履行通知义务等</w:t>
      </w:r>
      <w:r>
        <w:rPr>
          <w:rFonts w:hint="eastAsia"/>
          <w:b w:val="0"/>
          <w:bCs w:val="0"/>
          <w:highlight w:val="none"/>
          <w:lang w:val="en-US" w:eastAsia="zh-CN"/>
        </w:rPr>
        <w:t>。</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4D90C7D5">
      <w:pPr>
        <w:rPr>
          <w:rFonts w:hint="eastAsia" w:ascii="Times New Roman" w:eastAsia="仿宋"/>
          <w:highlight w:val="none"/>
          <w:lang w:val="en-US" w:eastAsia="zh-CN"/>
        </w:rPr>
      </w:pPr>
    </w:p>
    <w:p w14:paraId="5AB53BC2">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世运电路：泰国工厂一期规划预计将于2026年一季度开始试产和产能爬坡</w:t>
      </w:r>
    </w:p>
    <w:p w14:paraId="50B3618F">
      <w:pPr>
        <w:ind w:firstLine="640" w:firstLineChars="200"/>
        <w:rPr>
          <w:rFonts w:hint="eastAsia" w:ascii="Times New Roman" w:eastAsia="仿宋"/>
          <w:highlight w:val="none"/>
          <w:lang w:val="en-US" w:eastAsia="zh-CN"/>
        </w:rPr>
      </w:pPr>
      <w:r>
        <w:rPr>
          <w:rFonts w:hint="eastAsia" w:ascii="Times New Roman" w:eastAsia="仿宋"/>
          <w:b w:val="0"/>
          <w:bCs w:val="0"/>
          <w:highlight w:val="none"/>
          <w:lang w:val="en-US" w:eastAsia="zh-CN"/>
        </w:rPr>
        <w:t>1月14日</w:t>
      </w:r>
      <w:r>
        <w:rPr>
          <w:rFonts w:hint="eastAsia"/>
          <w:b w:val="0"/>
          <w:bCs w:val="0"/>
          <w:highlight w:val="none"/>
          <w:lang w:val="en-US" w:eastAsia="zh-CN"/>
        </w:rPr>
        <w:t>，据</w:t>
      </w:r>
      <w:r>
        <w:rPr>
          <w:rFonts w:hint="eastAsia" w:ascii="Times New Roman" w:eastAsia="仿宋"/>
          <w:b w:val="0"/>
          <w:bCs w:val="0"/>
          <w:highlight w:val="none"/>
          <w:lang w:val="en-US" w:eastAsia="zh-CN"/>
        </w:rPr>
        <w:t>世运电路，泰国工厂一期规划预计将于2026年一季度开始试产和产能爬坡。该工厂定位高端PCB生产基地，旨在优化全球供应链布局。主要承接包括T客户在内的海外核心战略客户订单，聚焦海外汽车电子、储能、人形机器人、AI芯片PCB等高附加值领域产品。同时依托公司海外客户资源，通过本土化生产提升交付效率，聚焦高端市场，避免低端同质化竞争。泰国的管理团队具备成熟的海外客户服务和高端PCB生产经验，同时公司同步派遣干部并现场培养本地人才，确保海外基地在技术标准和管理效率上与总部保持一致。</w:t>
      </w:r>
      <w:r>
        <w:rPr>
          <w:rFonts w:hint="eastAsia" w:ascii="Times New Roman" w:eastAsia="仿宋"/>
          <w:highlight w:val="none"/>
          <w:lang w:val="en-US" w:eastAsia="zh-CN"/>
        </w:rPr>
        <w:t>（证券时报）</w:t>
      </w:r>
    </w:p>
    <w:p w14:paraId="42D71243">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default"/>
          <w:lang w:val="en-US" w:eastAsia="zh-CN"/>
        </w:rPr>
        <w:drawing>
          <wp:inline distT="0" distB="0" distL="114300" distR="114300">
            <wp:extent cx="5273040" cy="3502660"/>
            <wp:effectExtent l="0" t="0" r="10160" b="2540"/>
            <wp:docPr id="2" name="图片 2" descr="edd44b14db9bc0cd9628a36ef92810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d44b14db9bc0cd9628a36ef928100e"/>
                    <pic:cNvPicPr>
                      <a:picLocks noChangeAspect="1"/>
                    </pic:cNvPicPr>
                  </pic:nvPicPr>
                  <pic:blipFill>
                    <a:blip r:embed="rId7"/>
                    <a:stretch>
                      <a:fillRect/>
                    </a:stretch>
                  </pic:blipFill>
                  <pic:spPr>
                    <a:xfrm>
                      <a:off x="0" y="0"/>
                      <a:ext cx="5273040" cy="350266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072535"/>
    <w:rsid w:val="044F4E1E"/>
    <w:rsid w:val="047732AA"/>
    <w:rsid w:val="049727D9"/>
    <w:rsid w:val="04984670"/>
    <w:rsid w:val="04AB1CB5"/>
    <w:rsid w:val="04BE6757"/>
    <w:rsid w:val="04CD32E2"/>
    <w:rsid w:val="04E81B1A"/>
    <w:rsid w:val="057F11D8"/>
    <w:rsid w:val="05BB5375"/>
    <w:rsid w:val="060D3218"/>
    <w:rsid w:val="06542070"/>
    <w:rsid w:val="065F5E83"/>
    <w:rsid w:val="06CC35FE"/>
    <w:rsid w:val="07565116"/>
    <w:rsid w:val="07AD5543"/>
    <w:rsid w:val="07F12D96"/>
    <w:rsid w:val="07F36299"/>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79699D"/>
    <w:rsid w:val="0B9176F8"/>
    <w:rsid w:val="0BE963DA"/>
    <w:rsid w:val="0C9B6BDE"/>
    <w:rsid w:val="0C9C373F"/>
    <w:rsid w:val="0CCF6098"/>
    <w:rsid w:val="0CF557D7"/>
    <w:rsid w:val="0D126C01"/>
    <w:rsid w:val="0D6D6016"/>
    <w:rsid w:val="0D9373FE"/>
    <w:rsid w:val="0DAC478F"/>
    <w:rsid w:val="0DB15454"/>
    <w:rsid w:val="0DE43C80"/>
    <w:rsid w:val="0E145C0B"/>
    <w:rsid w:val="0E2B494A"/>
    <w:rsid w:val="0E47788B"/>
    <w:rsid w:val="0E777996"/>
    <w:rsid w:val="0F046CBD"/>
    <w:rsid w:val="0F601A19"/>
    <w:rsid w:val="0F9E17AE"/>
    <w:rsid w:val="0FF12DEB"/>
    <w:rsid w:val="0FFA6644"/>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8104A8"/>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003C97"/>
    <w:rsid w:val="1C2361BA"/>
    <w:rsid w:val="1C2516BD"/>
    <w:rsid w:val="1CAD60E0"/>
    <w:rsid w:val="1D18610F"/>
    <w:rsid w:val="1E4B5A2B"/>
    <w:rsid w:val="1E5209CD"/>
    <w:rsid w:val="1E5D6D5E"/>
    <w:rsid w:val="1E645BF0"/>
    <w:rsid w:val="1EB9047B"/>
    <w:rsid w:val="1F0926FA"/>
    <w:rsid w:val="1F390CCB"/>
    <w:rsid w:val="1F3F651D"/>
    <w:rsid w:val="1FCC39FA"/>
    <w:rsid w:val="1FFE35CC"/>
    <w:rsid w:val="200C07F7"/>
    <w:rsid w:val="204E7220"/>
    <w:rsid w:val="20897E6F"/>
    <w:rsid w:val="20AC0BEB"/>
    <w:rsid w:val="20BD71EB"/>
    <w:rsid w:val="20BE2B76"/>
    <w:rsid w:val="20CC0EE2"/>
    <w:rsid w:val="21B84562"/>
    <w:rsid w:val="21C04BDE"/>
    <w:rsid w:val="21C24B9B"/>
    <w:rsid w:val="21CB236C"/>
    <w:rsid w:val="22777E18"/>
    <w:rsid w:val="22B927FF"/>
    <w:rsid w:val="22E43154"/>
    <w:rsid w:val="2489657E"/>
    <w:rsid w:val="24B27142"/>
    <w:rsid w:val="24E7219B"/>
    <w:rsid w:val="251A5E6D"/>
    <w:rsid w:val="25512847"/>
    <w:rsid w:val="25761848"/>
    <w:rsid w:val="25F80A39"/>
    <w:rsid w:val="261B7921"/>
    <w:rsid w:val="26311B3A"/>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0B0CD4"/>
    <w:rsid w:val="2C622E1D"/>
    <w:rsid w:val="2C7B02A7"/>
    <w:rsid w:val="2C8E7905"/>
    <w:rsid w:val="2CCF40E2"/>
    <w:rsid w:val="2CD47B9C"/>
    <w:rsid w:val="2CD53B9A"/>
    <w:rsid w:val="2CD77367"/>
    <w:rsid w:val="2D2626A0"/>
    <w:rsid w:val="2DDB5291"/>
    <w:rsid w:val="2DE262D6"/>
    <w:rsid w:val="2DE45925"/>
    <w:rsid w:val="2DE644D2"/>
    <w:rsid w:val="2E1378EE"/>
    <w:rsid w:val="2EF7039C"/>
    <w:rsid w:val="2F2D6FB5"/>
    <w:rsid w:val="2F6B4AD8"/>
    <w:rsid w:val="2FEC0E0A"/>
    <w:rsid w:val="302A3C11"/>
    <w:rsid w:val="30797214"/>
    <w:rsid w:val="30D10F27"/>
    <w:rsid w:val="30EA07CC"/>
    <w:rsid w:val="313E5C07"/>
    <w:rsid w:val="31903FB7"/>
    <w:rsid w:val="31BA471D"/>
    <w:rsid w:val="31C0661C"/>
    <w:rsid w:val="31E10D64"/>
    <w:rsid w:val="325524D0"/>
    <w:rsid w:val="325A0517"/>
    <w:rsid w:val="32EB188E"/>
    <w:rsid w:val="336743E3"/>
    <w:rsid w:val="33961276"/>
    <w:rsid w:val="33A05842"/>
    <w:rsid w:val="33B80305"/>
    <w:rsid w:val="33E36A20"/>
    <w:rsid w:val="33E62FE3"/>
    <w:rsid w:val="340919EE"/>
    <w:rsid w:val="3442486C"/>
    <w:rsid w:val="345D0180"/>
    <w:rsid w:val="34AE33AA"/>
    <w:rsid w:val="34D423BC"/>
    <w:rsid w:val="35085D0E"/>
    <w:rsid w:val="350E5A19"/>
    <w:rsid w:val="35130D79"/>
    <w:rsid w:val="35284C04"/>
    <w:rsid w:val="35523A2F"/>
    <w:rsid w:val="35727C2D"/>
    <w:rsid w:val="35734034"/>
    <w:rsid w:val="35EF1F5F"/>
    <w:rsid w:val="363F160E"/>
    <w:rsid w:val="364C0923"/>
    <w:rsid w:val="36EC71A8"/>
    <w:rsid w:val="36FA437E"/>
    <w:rsid w:val="373B350A"/>
    <w:rsid w:val="3783091D"/>
    <w:rsid w:val="3785578A"/>
    <w:rsid w:val="37A7315E"/>
    <w:rsid w:val="37BE7B1C"/>
    <w:rsid w:val="38072E43"/>
    <w:rsid w:val="3885411B"/>
    <w:rsid w:val="38F44DFD"/>
    <w:rsid w:val="39273424"/>
    <w:rsid w:val="39630EB6"/>
    <w:rsid w:val="39817F30"/>
    <w:rsid w:val="39AE4FB6"/>
    <w:rsid w:val="3A6377F7"/>
    <w:rsid w:val="3A733271"/>
    <w:rsid w:val="3AC73557"/>
    <w:rsid w:val="3ADD0C8D"/>
    <w:rsid w:val="3AE8373F"/>
    <w:rsid w:val="3AF712CC"/>
    <w:rsid w:val="3B170BE2"/>
    <w:rsid w:val="3B246918"/>
    <w:rsid w:val="3B415A96"/>
    <w:rsid w:val="3B66696F"/>
    <w:rsid w:val="3B835876"/>
    <w:rsid w:val="3B8551F5"/>
    <w:rsid w:val="3BCD47A7"/>
    <w:rsid w:val="3BFA4E20"/>
    <w:rsid w:val="3C2D65A3"/>
    <w:rsid w:val="3C402568"/>
    <w:rsid w:val="3C503CCB"/>
    <w:rsid w:val="3D7B5863"/>
    <w:rsid w:val="3DD75419"/>
    <w:rsid w:val="3DF17D30"/>
    <w:rsid w:val="3DF340B9"/>
    <w:rsid w:val="3E0D6933"/>
    <w:rsid w:val="3E3671A0"/>
    <w:rsid w:val="3E526AD0"/>
    <w:rsid w:val="3E5C7080"/>
    <w:rsid w:val="3EBE74C8"/>
    <w:rsid w:val="3FBC4A1D"/>
    <w:rsid w:val="3FF67181"/>
    <w:rsid w:val="40212FAA"/>
    <w:rsid w:val="409D1CF0"/>
    <w:rsid w:val="40BA2742"/>
    <w:rsid w:val="41482E61"/>
    <w:rsid w:val="41517290"/>
    <w:rsid w:val="415747BE"/>
    <w:rsid w:val="41BA2786"/>
    <w:rsid w:val="42861B49"/>
    <w:rsid w:val="42C6151D"/>
    <w:rsid w:val="431F762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2572A"/>
    <w:rsid w:val="496C7652"/>
    <w:rsid w:val="49FD6C71"/>
    <w:rsid w:val="4A0842C1"/>
    <w:rsid w:val="4A153BC9"/>
    <w:rsid w:val="4ACA41D4"/>
    <w:rsid w:val="4AD72DEE"/>
    <w:rsid w:val="4AE239CC"/>
    <w:rsid w:val="4B7A2929"/>
    <w:rsid w:val="4BB16EEF"/>
    <w:rsid w:val="4BB308C1"/>
    <w:rsid w:val="4C28087F"/>
    <w:rsid w:val="4CA245F6"/>
    <w:rsid w:val="4CF93156"/>
    <w:rsid w:val="4D122BF3"/>
    <w:rsid w:val="4D235647"/>
    <w:rsid w:val="4D37539A"/>
    <w:rsid w:val="4D761E2D"/>
    <w:rsid w:val="4DBA440F"/>
    <w:rsid w:val="4DD93651"/>
    <w:rsid w:val="4E1C41B2"/>
    <w:rsid w:val="4E9563FB"/>
    <w:rsid w:val="4F472002"/>
    <w:rsid w:val="4F92297F"/>
    <w:rsid w:val="4FE9329C"/>
    <w:rsid w:val="4FFE3E1D"/>
    <w:rsid w:val="4FFE67DD"/>
    <w:rsid w:val="50255A1F"/>
    <w:rsid w:val="50393156"/>
    <w:rsid w:val="5061150F"/>
    <w:rsid w:val="50D531EC"/>
    <w:rsid w:val="51267CC7"/>
    <w:rsid w:val="513545B7"/>
    <w:rsid w:val="51C21231"/>
    <w:rsid w:val="523A7692"/>
    <w:rsid w:val="52470D8A"/>
    <w:rsid w:val="5295690B"/>
    <w:rsid w:val="52CD6A64"/>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4A4AA2"/>
    <w:rsid w:val="5D7412BE"/>
    <w:rsid w:val="5DCB39AA"/>
    <w:rsid w:val="5DCC6423"/>
    <w:rsid w:val="5E0C782C"/>
    <w:rsid w:val="5E472FDC"/>
    <w:rsid w:val="5E510478"/>
    <w:rsid w:val="5E543AC4"/>
    <w:rsid w:val="5EEB03CB"/>
    <w:rsid w:val="5F0977F9"/>
    <w:rsid w:val="5F8132F0"/>
    <w:rsid w:val="5FC559AE"/>
    <w:rsid w:val="5FEA17A7"/>
    <w:rsid w:val="6104413C"/>
    <w:rsid w:val="611C17E3"/>
    <w:rsid w:val="611C70C4"/>
    <w:rsid w:val="614330B7"/>
    <w:rsid w:val="61E138C1"/>
    <w:rsid w:val="61EE522D"/>
    <w:rsid w:val="61F10D0C"/>
    <w:rsid w:val="61F640AC"/>
    <w:rsid w:val="62A734E8"/>
    <w:rsid w:val="63273CE2"/>
    <w:rsid w:val="63490AF3"/>
    <w:rsid w:val="63821F13"/>
    <w:rsid w:val="63D3192F"/>
    <w:rsid w:val="63F17B2B"/>
    <w:rsid w:val="642A6415"/>
    <w:rsid w:val="646A0BE9"/>
    <w:rsid w:val="646E2E54"/>
    <w:rsid w:val="64A84C97"/>
    <w:rsid w:val="65077C97"/>
    <w:rsid w:val="65270184"/>
    <w:rsid w:val="65493C57"/>
    <w:rsid w:val="65736F26"/>
    <w:rsid w:val="65BF14FC"/>
    <w:rsid w:val="65DC06B2"/>
    <w:rsid w:val="66331F5B"/>
    <w:rsid w:val="67463567"/>
    <w:rsid w:val="67551E8A"/>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424106"/>
    <w:rsid w:val="6B9F6182"/>
    <w:rsid w:val="6C5A23DB"/>
    <w:rsid w:val="6C8F0A29"/>
    <w:rsid w:val="6C9824B9"/>
    <w:rsid w:val="6CC002AD"/>
    <w:rsid w:val="6CCE6BBD"/>
    <w:rsid w:val="6CD17894"/>
    <w:rsid w:val="6D0914F3"/>
    <w:rsid w:val="6D155306"/>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0D005A5"/>
    <w:rsid w:val="712F0AD2"/>
    <w:rsid w:val="714B67DA"/>
    <w:rsid w:val="71A96764"/>
    <w:rsid w:val="71AD6C8E"/>
    <w:rsid w:val="71B8286E"/>
    <w:rsid w:val="72B2653C"/>
    <w:rsid w:val="732764FB"/>
    <w:rsid w:val="73946B2F"/>
    <w:rsid w:val="73E83D3D"/>
    <w:rsid w:val="74576EE0"/>
    <w:rsid w:val="748070FC"/>
    <w:rsid w:val="74B8340E"/>
    <w:rsid w:val="74BC1E14"/>
    <w:rsid w:val="75153EB5"/>
    <w:rsid w:val="75FA729D"/>
    <w:rsid w:val="764A32DB"/>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9C4B2F"/>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2786</Words>
  <Characters>3050</Characters>
  <Lines>1</Lines>
  <Paragraphs>1</Paragraphs>
  <TotalTime>43</TotalTime>
  <ScaleCrop>false</ScaleCrop>
  <LinksUpToDate>false</LinksUpToDate>
  <CharactersWithSpaces>3109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2026-01-22T03:27:43Z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D95B08EBC0864C86B8BB259ADDF5EB61_13</vt:lpwstr>
  </property>
  <property fmtid="{D5CDD505-2E9C-101B-9397-08002B2CF9AE}" pid="4" name="KSOTemplateDocerSaveRecord">
    <vt:lpwstr>eyJoZGlkIjoiZWFlNjQ3NDIwZDEwN2RkZjI5ZmVhOGI2NjVlYTBkMTciLCJ1c2VySWQiOiIxMzgyMTM1ODU2In0=</vt:lpwstr>
  </property>
</Properties>
</file>