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第119期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每周资讯|三部门发布通知称更大力度</w:t>
      </w:r>
      <w:bookmarkStart w:id="0" w:name="_GoBack"/>
      <w:bookmarkEnd w:id="0"/>
      <w:r>
        <w:rPr>
          <w:rFonts w:hint="eastAsia"/>
          <w:highlight w:val="none"/>
          <w:lang w:val="en-US" w:eastAsia="zh-CN"/>
        </w:rPr>
        <w:t>提振消费；11月份全国规上工业增加值同增4.8%；鹏鼎控股43亿元增资泰国园区</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加强商务和金融协同</w:t>
      </w:r>
      <w:r>
        <w:rPr>
          <w:rFonts w:hint="eastAsia" w:ascii="黑体" w:hAnsi="黑体" w:eastAsia="黑体" w:cs="黑体"/>
          <w:b/>
          <w:bCs/>
          <w:lang w:val="en-US" w:eastAsia="zh-CN"/>
        </w:rPr>
        <w:t>，</w:t>
      </w:r>
      <w:r>
        <w:rPr>
          <w:rFonts w:hint="default" w:ascii="黑体" w:hAnsi="黑体" w:eastAsia="黑体" w:cs="黑体"/>
          <w:b/>
          <w:bCs/>
          <w:lang w:val="en-US" w:eastAsia="zh-CN"/>
        </w:rPr>
        <w:t>更大力度提振消费</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12月</w:t>
      </w:r>
      <w:r>
        <w:rPr>
          <w:rFonts w:hint="eastAsia"/>
          <w:highlight w:val="none"/>
          <w:lang w:val="en-US" w:eastAsia="zh-CN"/>
        </w:rPr>
        <w:t>15</w:t>
      </w:r>
      <w:r>
        <w:rPr>
          <w:rFonts w:hint="eastAsia" w:ascii="Times New Roman" w:eastAsia="仿宋"/>
          <w:highlight w:val="none"/>
          <w:lang w:val="en-US" w:eastAsia="zh-CN"/>
        </w:rPr>
        <w:t>日</w:t>
      </w:r>
      <w:r>
        <w:rPr>
          <w:rFonts w:hint="eastAsia"/>
          <w:highlight w:val="none"/>
          <w:lang w:val="en-US" w:eastAsia="zh-CN"/>
        </w:rPr>
        <w:t>，</w:t>
      </w:r>
      <w:r>
        <w:rPr>
          <w:rFonts w:hint="eastAsia" w:ascii="Times New Roman" w:eastAsia="仿宋"/>
          <w:highlight w:val="none"/>
          <w:lang w:val="en-US" w:eastAsia="zh-CN"/>
        </w:rPr>
        <w:t>商务部、央行、金融监管总局发布《关于加强商务和金融协同更大力度提振消费的通知》，针对深化商务和金融系统协作、加大消费重点领域金融支持、扩大政金企对接合作三个方面，提出11项具体举措。其中提到，鼓励有条件的地方运用数字人民币智能合约红包提升促消费政策实施质效，加快推动个人消费贷款业务发展，适当减免汽车以旧换新过程中提前结清贷款产生的违约金，用好用足服务消费与养老再贷款，积极探索金融支持首发经济、“人工智能+消费”、“IP+消费”等新业态新模式，鼓励商家、平台发放消费券，提供更多低息、免息分期等优惠。</w:t>
      </w:r>
      <w:r>
        <w:rPr>
          <w:rFonts w:hint="eastAsia" w:ascii="Times New Roman" w:eastAsia="仿宋"/>
          <w:lang w:val="en-US" w:eastAsia="zh-CN"/>
        </w:rPr>
        <w:t>(</w:t>
      </w:r>
      <w:r>
        <w:rPr>
          <w:rFonts w:hint="eastAsia"/>
          <w:lang w:val="en-US" w:eastAsia="zh-CN"/>
        </w:rPr>
        <w:t>央视财经</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国家发展改革委等多个部门开列2026年重点任务清单</w:t>
      </w:r>
    </w:p>
    <w:p w14:paraId="03B6C0F9">
      <w:pPr>
        <w:ind w:firstLine="640" w:firstLineChars="200"/>
        <w:jc w:val="left"/>
        <w:rPr>
          <w:rFonts w:hint="eastAsia"/>
          <w:lang w:val="en-US" w:eastAsia="zh-CN"/>
        </w:rPr>
      </w:pPr>
      <w:r>
        <w:rPr>
          <w:rFonts w:hint="eastAsia"/>
          <w:lang w:val="en-US" w:eastAsia="zh-CN"/>
        </w:rPr>
        <w:t>12月15日，据经济参考报，近日，国家发展改革委、财政部、商务部、中国人民银行、国务院国资委等多个部门密集开展部署，贯彻落实中央经济工作会议精神，开列2026年重点任务清单。围绕提振消费、推动投资止跌回稳、培育壮大新动能等，明年将有更多增量政策根据形势变化出台。其中，将加快出台实施首发经济、赛事经济、电子商务、“人工智能+消费”等领域提振消费的政策；适当增加中央预算内投资规模，靠前实施具备条件的“十五五”重大项目。与此同时，还要积极稳妥化解重点领域风险。(第一财经)</w:t>
      </w:r>
    </w:p>
    <w:p w14:paraId="2B88E06C">
      <w:pPr>
        <w:jc w:val="left"/>
        <w:rPr>
          <w:rFonts w:hint="eastAsia"/>
          <w:lang w:val="en-US" w:eastAsia="zh-CN"/>
        </w:rPr>
      </w:pPr>
    </w:p>
    <w:p w14:paraId="4BE1B00C">
      <w:pPr>
        <w:pStyle w:val="3"/>
        <w:bidi w:val="0"/>
        <w:jc w:val="center"/>
        <w:rPr>
          <w:rFonts w:hint="default"/>
          <w:lang w:val="en-US" w:eastAsia="zh-CN"/>
        </w:rPr>
      </w:pPr>
      <w:r>
        <w:rPr>
          <w:rFonts w:hint="eastAsia"/>
          <w:lang w:val="en-US" w:eastAsia="zh-CN"/>
        </w:rPr>
        <w:t>中国信通院：到2035年6G有望形成，万亿级产业及应用市场</w:t>
      </w:r>
    </w:p>
    <w:p w14:paraId="20589A66">
      <w:pPr>
        <w:ind w:firstLine="640" w:firstLineChars="200"/>
        <w:rPr>
          <w:rFonts w:hint="eastAsia"/>
          <w:lang w:val="en-US" w:eastAsia="zh-CN"/>
        </w:rPr>
      </w:pPr>
      <w:r>
        <w:rPr>
          <w:rFonts w:hint="eastAsia" w:ascii="Times New Roman" w:eastAsia="仿宋"/>
          <w:lang w:val="en-US" w:eastAsia="zh-CN"/>
        </w:rPr>
        <w:t>12月</w:t>
      </w:r>
      <w:r>
        <w:rPr>
          <w:rFonts w:hint="eastAsia"/>
          <w:lang w:val="en-US" w:eastAsia="zh-CN"/>
        </w:rPr>
        <w:t>15</w:t>
      </w:r>
      <w:r>
        <w:rPr>
          <w:rFonts w:hint="eastAsia" w:ascii="Times New Roman" w:eastAsia="仿宋"/>
          <w:lang w:val="en-US" w:eastAsia="zh-CN"/>
        </w:rPr>
        <w:t>日，《经济参考报》记者从日前举行的“2026中国信通院深度观察报告会”上获悉，根据中国信通院的研究显示，我国正积极推进6G创新发展，预计于2030年左右启动商业应用，到2035年将实现6G规模化商用部署，有望培育形成万亿元级的6G产业及应用市场</w:t>
      </w:r>
      <w:r>
        <w:rPr>
          <w:rFonts w:hint="eastAsia"/>
          <w:lang w:val="en-US" w:eastAsia="zh-CN"/>
        </w:rPr>
        <w:t>。</w:t>
      </w:r>
      <w:r>
        <w:rPr>
          <w:rFonts w:hint="eastAsia" w:ascii="Times New Roman" w:eastAsia="仿宋"/>
          <w:lang w:val="en-US" w:eastAsia="zh-CN"/>
        </w:rPr>
        <w:t>6G即第六代移动通信，是新一代智能化综合性数字信息基础设施，将实现通信、感知、计算、智能等深度融合</w:t>
      </w:r>
      <w:r>
        <w:rPr>
          <w:rFonts w:hint="eastAsia"/>
          <w:lang w:val="en-US" w:eastAsia="zh-CN"/>
        </w:rPr>
        <w:t>。</w:t>
      </w:r>
      <w:r>
        <w:rPr>
          <w:rFonts w:hint="eastAsia" w:ascii="Times New Roman" w:eastAsia="仿宋"/>
          <w:lang w:val="en-US" w:eastAsia="zh-CN"/>
        </w:rPr>
        <w:t>(新华社)</w:t>
      </w:r>
    </w:p>
    <w:p w14:paraId="59DF9878">
      <w:pPr>
        <w:ind w:firstLine="640" w:firstLineChars="200"/>
        <w:jc w:val="left"/>
        <w:rPr>
          <w:rFonts w:hint="eastAsia"/>
          <w:lang w:val="en-US" w:eastAsia="zh-CN"/>
        </w:rPr>
      </w:pPr>
    </w:p>
    <w:p w14:paraId="31D4B605">
      <w:pPr>
        <w:jc w:val="left"/>
        <w:rPr>
          <w:rFonts w:hint="eastAsia"/>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30C907F2">
      <w:pPr>
        <w:jc w:val="center"/>
        <w:rPr>
          <w:rFonts w:hint="default" w:ascii="黑体" w:hAnsi="黑体" w:eastAsia="黑体" w:cs="黑体"/>
          <w:b/>
          <w:bCs/>
          <w:lang w:val="en-US" w:eastAsia="zh-CN"/>
        </w:rPr>
      </w:pPr>
      <w:r>
        <w:rPr>
          <w:rFonts w:hint="default" w:ascii="黑体" w:hAnsi="黑体" w:eastAsia="黑体" w:cs="黑体"/>
          <w:b/>
          <w:bCs/>
          <w:lang w:val="en-US" w:eastAsia="zh-CN"/>
        </w:rPr>
        <w:t>11月份全国规模以上工业增加值同比增长4.8%</w:t>
      </w:r>
    </w:p>
    <w:p w14:paraId="09EFFEA9">
      <w:pPr>
        <w:ind w:firstLine="640" w:firstLineChars="200"/>
        <w:rPr>
          <w:rFonts w:hint="eastAsia" w:ascii="Times New Roman" w:eastAsia="仿宋"/>
          <w:lang w:val="en-US" w:eastAsia="zh-CN"/>
        </w:rPr>
      </w:pPr>
      <w:r>
        <w:rPr>
          <w:rFonts w:hint="eastAsia"/>
          <w:highlight w:val="none"/>
          <w:lang w:val="en-US" w:eastAsia="zh-CN"/>
        </w:rPr>
        <w:t>12月16日，据商务部，中国11月经济“成绩单”出炉。国家统计局公布数据显示，11月份，全国规模以上工业增加值同比增长4.8%，服务业生产指数同比增长4.2%，社会消费品零售总额同比增长1.3%。1-11月份，全国固定资产投资同比下降2.6%，其中，制造业投资增长1.9%，房地产开发投资下降15.9%。11月全国城镇调查失业率持平于5.1%。</w:t>
      </w:r>
      <w:r>
        <w:rPr>
          <w:rFonts w:hint="eastAsia" w:ascii="Times New Roman" w:eastAsia="仿宋"/>
          <w:lang w:val="en-US" w:eastAsia="zh-CN"/>
        </w:rPr>
        <w:t>(</w:t>
      </w:r>
      <w:r>
        <w:rPr>
          <w:rFonts w:hint="eastAsia"/>
          <w:lang w:val="en-US" w:eastAsia="zh-CN"/>
        </w:rPr>
        <w:t>商务部</w:t>
      </w:r>
      <w:r>
        <w:rPr>
          <w:rFonts w:hint="eastAsia" w:ascii="Times New Roman" w:eastAsia="仿宋"/>
          <w:lang w:val="en-US" w:eastAsia="zh-CN"/>
        </w:rPr>
        <w:t>)</w:t>
      </w:r>
    </w:p>
    <w:p w14:paraId="22774C64">
      <w:pPr>
        <w:rPr>
          <w:rFonts w:hint="eastAsia" w:ascii="Times New Roman" w:eastAsia="仿宋"/>
          <w:lang w:val="en-US" w:eastAsia="zh-CN"/>
        </w:rPr>
      </w:pPr>
    </w:p>
    <w:p w14:paraId="07896B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2025年，全国发电总装机同比增长14%</w:t>
      </w:r>
    </w:p>
    <w:p w14:paraId="3C0F113A">
      <w:pPr>
        <w:ind w:firstLine="640" w:firstLineChars="200"/>
        <w:jc w:val="left"/>
        <w:rPr>
          <w:rFonts w:hint="eastAsia" w:ascii="Times New Roman" w:eastAsia="仿宋"/>
          <w:lang w:val="en-US" w:eastAsia="zh-CN"/>
        </w:rPr>
      </w:pPr>
      <w:r>
        <w:rPr>
          <w:rFonts w:hint="eastAsia" w:ascii="Times New Roman" w:eastAsia="仿宋"/>
          <w:lang w:val="en-US" w:eastAsia="zh-CN"/>
        </w:rPr>
        <w:t>12月15日，2026年全国能源工作会议在北京召开。会议强调，2026年能源工作要扎实推进能源绿色低碳转型。持续提高新能源供给比重，全年新增风电、太阳能发电装机2亿千瓦以上，有序推进重大水电项目，积极安全有序发展核电，加强化石能源清洁高效利用。会议透露，2025年，全国发电总装机同比增长14%，全社会用电量预计首超10万亿千瓦时，油、气产量双创历史新高。</w:t>
      </w:r>
      <w:r>
        <w:rPr>
          <w:rFonts w:hint="default"/>
          <w:lang w:eastAsia="zh-CN"/>
        </w:rPr>
        <w:t>（</w:t>
      </w:r>
      <w:r>
        <w:rPr>
          <w:rFonts w:hint="eastAsia" w:ascii="Times New Roman" w:eastAsia="仿宋"/>
          <w:lang w:val="en-US" w:eastAsia="zh-CN"/>
        </w:rPr>
        <w:t>新华社</w:t>
      </w:r>
      <w:r>
        <w:rPr>
          <w:rFonts w:hint="default"/>
          <w:lang w:eastAsia="zh-CN"/>
        </w:rPr>
        <w:t>）</w:t>
      </w:r>
    </w:p>
    <w:p w14:paraId="341B45BD">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工信部公布我国首批L3级有条件自动驾驶车型准入许可</w:t>
      </w:r>
    </w:p>
    <w:p w14:paraId="39DA2E50">
      <w:pPr>
        <w:ind w:firstLine="640" w:firstLineChars="200"/>
        <w:rPr>
          <w:rFonts w:hint="eastAsia"/>
          <w:highlight w:val="none"/>
          <w:lang w:val="en-US" w:eastAsia="zh-CN"/>
        </w:rPr>
      </w:pPr>
      <w:r>
        <w:rPr>
          <w:rFonts w:hint="eastAsia"/>
          <w:highlight w:val="none"/>
          <w:lang w:val="en-US" w:eastAsia="zh-CN"/>
        </w:rPr>
        <w:t>12月15日，工信部公布我国首批L3级有条件自动驾驶车型准入许可，长安深蓝SL03和北汽极狐阿尔法S成功入围，将分别在重庆指定拥堵路段和北京指定高速路段开展上路试点。这标志着我国L3级自动驾驶正式从测试阶段迈出商业化应用的关键一步。两款车型分别搭载长安自研“天枢智能”辅助驾驶系统和华为ADS智能驾驶系统。（工信微报）</w:t>
      </w:r>
    </w:p>
    <w:p w14:paraId="5A6B9F03">
      <w:pPr>
        <w:rPr>
          <w:rFonts w:hint="eastAsia"/>
          <w:highlight w:val="none"/>
          <w:lang w:val="en-US" w:eastAsia="zh-CN"/>
        </w:rPr>
      </w:pPr>
    </w:p>
    <w:p w14:paraId="0293EDF6">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SEMI：2027年全球半导体设备销售额预计达1560亿美元 创历史新高</w:t>
      </w:r>
    </w:p>
    <w:p w14:paraId="662102D8">
      <w:pPr>
        <w:ind w:firstLine="640" w:firstLineChars="200"/>
        <w:rPr>
          <w:rFonts w:hint="eastAsia"/>
          <w:highlight w:val="none"/>
          <w:lang w:val="en-US" w:eastAsia="zh-CN"/>
        </w:rPr>
      </w:pPr>
      <w:r>
        <w:rPr>
          <w:rFonts w:hint="eastAsia" w:ascii="Times New Roman" w:eastAsia="仿宋"/>
          <w:highlight w:val="none"/>
          <w:lang w:val="en-US" w:eastAsia="zh-CN"/>
        </w:rPr>
        <w:t>12月16日，国际半导体产业协会（SEMI）在发布《年终总半导体设备预测报告》。报告显示，2025年全球原始设备制造商（OEM）的半导体制造设备总销售额预计达1330亿美元，同比增长13.7%，创历史新高；2026年、2027年有望继续攀升至1450亿和1560亿美元。增长主要由人工智能相关投资拉动，涵盖先进逻辑、存储及先进封装技术。（</w:t>
      </w:r>
      <w:r>
        <w:rPr>
          <w:rFonts w:hint="eastAsia"/>
          <w:highlight w:val="none"/>
          <w:lang w:val="en-US" w:eastAsia="zh-CN"/>
        </w:rPr>
        <w:t>证券时报</w:t>
      </w:r>
      <w:r>
        <w:rPr>
          <w:rFonts w:hint="eastAsia" w:ascii="Times New Roman" w:eastAsia="仿宋"/>
          <w:highlight w:val="none"/>
          <w:lang w:val="en-US" w:eastAsia="zh-CN"/>
        </w:rPr>
        <w:t>）</w:t>
      </w:r>
    </w:p>
    <w:p w14:paraId="7BDACAB8">
      <w:pPr>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苹果考虑在印度封装iPhone芯片</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12月17日，据外媒报道，苹果公司正在与印度芯片制造商进行初步商谈，计划为其 iPhone组装并封装零部件。此前，苹果与印度的工业合作主要集中在iPhone、AirPods等终端产品的最终组装环节。而最新的谈判进展表明，苹果在印度的布局可能从现有的终端产品组装，进一步向上游延伸至更复杂的半导体封装领域。</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日本凸版印刷提升人工智能芯片用FC-BGA基板产能</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12月17日，总部位于东京的凸版印刷株式会社（Toppan Inc.，凸版控股株式会社的子公司）已在日本新潟工厂建成一条用于生产先进倒装芯片球栅阵列（FC-BGA）基板的新生产线，目标是在本财年末实现量产。根据该公司于2025年12月17日发布的新闻稿，此举是该公司为应对数据中心、边缘计算和人工智能工作负载推动的高密度半导体封装需求增长而采取的战略举措之一。</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鹏鼎控股：43亿增资泰国园区</w:t>
      </w:r>
    </w:p>
    <w:p w14:paraId="2DF56610">
      <w:pPr>
        <w:ind w:firstLine="640" w:firstLineChars="200"/>
        <w:jc w:val="left"/>
        <w:rPr>
          <w:rFonts w:hint="eastAsia"/>
          <w:highlight w:val="none"/>
          <w:lang w:val="en-US" w:eastAsia="zh-CN"/>
        </w:rPr>
      </w:pPr>
      <w:r>
        <w:rPr>
          <w:rFonts w:hint="eastAsia"/>
          <w:highlight w:val="none"/>
          <w:lang w:val="en-US" w:eastAsia="zh-CN"/>
        </w:rPr>
        <w:t>12月15日，据鹏鼎控股发布对外投资计划，2026年向泰国基地投资43亿元（自有或自筹资金），用于建设生产厂房及配套设施，并同步布局高阶HDI（含SLP）、HLC等产品产能，为快速成长的AI应用市场提供涵盖AI服务器、AI端侧产品、低轨卫星等多领域的全方位PCB解决方案。</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明阳电路：九江PCB生产基地扩产及年产36万平米高频高速PCB项目结项</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12月17日，据明阳电路公告称，公司第四届董事会第十一次会议审议通过《关于部分募集资金投资项目结项并将节余募集资金永久补充流动资金的议案》。公司首次公开发行股票募集资金投资项目“九江印制电路板生产基地扩产建设项目”、2020年向不特定对象发行可转换公司债券募投项目“九江明阳电路科技有限公司年产36万平方米高频高速印制电路板项目”均已建设完毕，达到了预定可使用状态。（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大族数控：赴香港上市，获中国证监会备案通知书</w:t>
      </w:r>
    </w:p>
    <w:p w14:paraId="7C7C5314">
      <w:pPr>
        <w:ind w:firstLine="640" w:firstLineChars="200"/>
        <w:jc w:val="left"/>
        <w:rPr>
          <w:rFonts w:hint="eastAsia"/>
          <w:highlight w:val="none"/>
          <w:lang w:val="en-US" w:eastAsia="zh-CN"/>
        </w:rPr>
      </w:pPr>
      <w:r>
        <w:rPr>
          <w:rFonts w:hint="eastAsia"/>
          <w:highlight w:val="none"/>
          <w:lang w:val="en-US" w:eastAsia="zh-CN"/>
        </w:rPr>
        <w:t>2025年12月18日，A股上市公大族数控发布公告，公司于近日收到中国证券监督管理委员会出具的《关于深圳市大族数控科技股份有限公司境外发行上市备案通知书》。备案通知书仅对公司境外发行上市备案信息予以确认，不表明中国证监会对公司证券的投资价值或者投资者的收益作出实质性判断或者保证，也不表明中国证监会对公司备案材料的真实性、准确性、完整性作出保证或者认定。（每日经济新闻）</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福斯特4.46亿元总部胶膜项目延期至2026年底，优先保障海外产能扩张</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12月16日</w:t>
      </w:r>
      <w:r>
        <w:rPr>
          <w:rFonts w:hint="eastAsia"/>
          <w:highlight w:val="none"/>
          <w:lang w:val="en-US" w:eastAsia="zh-CN"/>
        </w:rPr>
        <w:t>，据福斯特</w:t>
      </w:r>
      <w:r>
        <w:rPr>
          <w:rFonts w:hint="eastAsia" w:ascii="Times New Roman" w:eastAsia="仿宋"/>
          <w:highlight w:val="none"/>
          <w:lang w:val="en-US" w:eastAsia="zh-CN"/>
        </w:rPr>
        <w:t>发布公告称，公司决定将"年产2.5亿平方米高效电池封装胶膜项目"的建设期延长至2026年12月。该项目计划投入募集资金4.46亿元，占"福22转债"总募资净额的14.75%。同时，公司宣布越南、泰国等地的3个境外胶膜项目及2个境内电子材料项目将按期结项，凸显公司优先保障海外光伏市场供应的战略调整。（</w:t>
      </w:r>
      <w:r>
        <w:rPr>
          <w:rFonts w:hint="eastAsia"/>
          <w:highlight w:val="none"/>
          <w:lang w:val="en-US" w:eastAsia="zh-CN"/>
        </w:rPr>
        <w:t>证券时报</w:t>
      </w:r>
      <w:r>
        <w:rPr>
          <w:rFonts w:hint="eastAsia" w:ascii="Times New Roman" w:eastAsia="仿宋"/>
          <w:highlight w:val="none"/>
          <w:lang w:val="en-US" w:eastAsia="zh-CN"/>
        </w:rPr>
        <w:t>）</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4F4E1E"/>
    <w:rsid w:val="047732AA"/>
    <w:rsid w:val="049727D9"/>
    <w:rsid w:val="04BE6757"/>
    <w:rsid w:val="04CD32E2"/>
    <w:rsid w:val="04E81B1A"/>
    <w:rsid w:val="057F11D8"/>
    <w:rsid w:val="05BB5375"/>
    <w:rsid w:val="060D3218"/>
    <w:rsid w:val="06542070"/>
    <w:rsid w:val="065F5E83"/>
    <w:rsid w:val="06CC35FE"/>
    <w:rsid w:val="07565116"/>
    <w:rsid w:val="07AD5543"/>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CF557D7"/>
    <w:rsid w:val="0D126C01"/>
    <w:rsid w:val="0D6D6016"/>
    <w:rsid w:val="0D9373FE"/>
    <w:rsid w:val="0DAC478F"/>
    <w:rsid w:val="0DB15454"/>
    <w:rsid w:val="0DE43C80"/>
    <w:rsid w:val="0E2B494A"/>
    <w:rsid w:val="0E47788B"/>
    <w:rsid w:val="0E777996"/>
    <w:rsid w:val="0F046CBD"/>
    <w:rsid w:val="0F601A19"/>
    <w:rsid w:val="0F9E17AE"/>
    <w:rsid w:val="0FF12DEB"/>
    <w:rsid w:val="100920B1"/>
    <w:rsid w:val="104666EA"/>
    <w:rsid w:val="10946843"/>
    <w:rsid w:val="110E34BB"/>
    <w:rsid w:val="110E73FF"/>
    <w:rsid w:val="111028B5"/>
    <w:rsid w:val="112C7CBB"/>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6659F9"/>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2516BD"/>
    <w:rsid w:val="1CAD60E0"/>
    <w:rsid w:val="1D18610F"/>
    <w:rsid w:val="1E4B5A2B"/>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B927FF"/>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6743E3"/>
    <w:rsid w:val="33961276"/>
    <w:rsid w:val="33A05842"/>
    <w:rsid w:val="33B80305"/>
    <w:rsid w:val="33E62FE3"/>
    <w:rsid w:val="340919EE"/>
    <w:rsid w:val="3442486C"/>
    <w:rsid w:val="345D0180"/>
    <w:rsid w:val="34AE33AA"/>
    <w:rsid w:val="34D423BC"/>
    <w:rsid w:val="35085D0E"/>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415A96"/>
    <w:rsid w:val="3B66696F"/>
    <w:rsid w:val="3B835876"/>
    <w:rsid w:val="3B8551F5"/>
    <w:rsid w:val="3BCD47A7"/>
    <w:rsid w:val="3BFA4E20"/>
    <w:rsid w:val="3C402568"/>
    <w:rsid w:val="3C503CCB"/>
    <w:rsid w:val="3D7B5863"/>
    <w:rsid w:val="3DD75419"/>
    <w:rsid w:val="3DF17D30"/>
    <w:rsid w:val="3DF340B9"/>
    <w:rsid w:val="3E0D6933"/>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CA41D4"/>
    <w:rsid w:val="4AD72DEE"/>
    <w:rsid w:val="4AE239CC"/>
    <w:rsid w:val="4B7A2929"/>
    <w:rsid w:val="4BB16EEF"/>
    <w:rsid w:val="4BB308C1"/>
    <w:rsid w:val="4C28087F"/>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CD6A64"/>
    <w:rsid w:val="52DB4C0C"/>
    <w:rsid w:val="52ED4D9B"/>
    <w:rsid w:val="530C1269"/>
    <w:rsid w:val="53114AD1"/>
    <w:rsid w:val="534A4FB9"/>
    <w:rsid w:val="535B4DE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6E2E54"/>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002AD"/>
    <w:rsid w:val="6CCE6BBD"/>
    <w:rsid w:val="6CD17894"/>
    <w:rsid w:val="6D0914F3"/>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12F0AD2"/>
    <w:rsid w:val="71A96764"/>
    <w:rsid w:val="71AD6C8E"/>
    <w:rsid w:val="71B8286E"/>
    <w:rsid w:val="72B2653C"/>
    <w:rsid w:val="732764FB"/>
    <w:rsid w:val="73946B2F"/>
    <w:rsid w:val="73E83D3D"/>
    <w:rsid w:val="74576EE0"/>
    <w:rsid w:val="748070FC"/>
    <w:rsid w:val="74B8340E"/>
    <w:rsid w:val="74BC1E14"/>
    <w:rsid w:val="75FA729D"/>
    <w:rsid w:val="76C543E8"/>
    <w:rsid w:val="77025C02"/>
    <w:rsid w:val="771E02F9"/>
    <w:rsid w:val="77A576CA"/>
    <w:rsid w:val="785D67BD"/>
    <w:rsid w:val="78903D77"/>
    <w:rsid w:val="789F5C2E"/>
    <w:rsid w:val="78BE62B2"/>
    <w:rsid w:val="793D02F4"/>
    <w:rsid w:val="79576B39"/>
    <w:rsid w:val="79E24222"/>
    <w:rsid w:val="79E355ED"/>
    <w:rsid w:val="7A022808"/>
    <w:rsid w:val="7A3309A2"/>
    <w:rsid w:val="7A4D5F33"/>
    <w:rsid w:val="7AD65B35"/>
    <w:rsid w:val="7B050F64"/>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2453</Words>
  <Characters>2684</Characters>
  <Lines>1</Lines>
  <Paragraphs>1</Paragraphs>
  <TotalTime>285</TotalTime>
  <ScaleCrop>false</ScaleCrop>
  <LinksUpToDate>false</LinksUpToDate>
  <CharactersWithSpaces>2742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2025-12-18T05:32:43Z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0BED7E9290A34D289E0B9A6E141EC77E_13</vt:lpwstr>
  </property>
  <property fmtid="{D5CDD505-2E9C-101B-9397-08002B2CF9AE}" pid="4" name="KSOTemplateDocerSaveRecord">
    <vt:lpwstr>eyJoZGlkIjoiZWFlNjQ3NDIwZDEwN2RkZjI5ZmVhOGI2NjVlYTBkMTciLCJ1c2VySWQiOiIxMzgyMTM1ODU2In0=</vt:lpwstr>
  </property>
</Properties>
</file>