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hint="eastAsia" w:ascii="黑体" w:hAnsi="宋体" w:eastAsia="黑体" w:cs="黑体"/>
          <w:b/>
          <w:bCs/>
          <w:snapToGrid w:val="0"/>
          <w:color w:val="FF0000"/>
          <w:kern w:val="0"/>
          <w:sz w:val="55"/>
          <w:szCs w:val="55"/>
          <w:lang w:val="en-US" w:eastAsia="zh-CN" w:bidi="ar"/>
        </w:rPr>
        <w:t xml:space="preserve"> </w:t>
      </w: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第114</w:t>
      </w:r>
      <w:bookmarkStart w:id="0" w:name="_GoBack"/>
      <w:bookmarkEnd w:id="0"/>
      <w:r>
        <w:rPr>
          <w:rFonts w:hint="eastAsia" w:ascii="华文楷体" w:hAnsi="华文楷体" w:eastAsia="华文楷体" w:cs="华文楷体"/>
          <w:b/>
          <w:bCs/>
          <w:snapToGrid w:val="0"/>
          <w:color w:val="C00000"/>
          <w:kern w:val="0"/>
          <w:sz w:val="28"/>
          <w:szCs w:val="28"/>
          <w:lang w:val="en-US" w:eastAsia="zh-CN" w:bidi="ar"/>
        </w:rPr>
        <w:t>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2025年11月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每周资讯|央行表示要实施好适度宽松的货币政策；10月我国新能源汽车销量首次超总销量的50%；泰国超颖将投资扩产新项目</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国家能源局关于推进煤炭与新能源融合发展的指导意见</w:t>
      </w:r>
    </w:p>
    <w:p w14:paraId="59368A05">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1</w:t>
      </w:r>
      <w:r>
        <w:rPr>
          <w:rFonts w:hint="eastAsia"/>
          <w:highlight w:val="none"/>
          <w:lang w:val="en-US" w:eastAsia="zh-CN"/>
        </w:rPr>
        <w:t>1</w:t>
      </w:r>
      <w:r>
        <w:rPr>
          <w:rFonts w:hint="eastAsia" w:ascii="Times New Roman" w:eastAsia="仿宋"/>
          <w:highlight w:val="none"/>
          <w:lang w:val="en-US" w:eastAsia="zh-CN"/>
        </w:rPr>
        <w:t>月</w:t>
      </w:r>
      <w:r>
        <w:rPr>
          <w:rFonts w:hint="eastAsia"/>
          <w:highlight w:val="none"/>
          <w:lang w:val="en-US" w:eastAsia="zh-CN"/>
        </w:rPr>
        <w:t>7</w:t>
      </w:r>
      <w:r>
        <w:rPr>
          <w:rFonts w:hint="eastAsia" w:ascii="Times New Roman" w:eastAsia="仿宋"/>
          <w:highlight w:val="none"/>
          <w:lang w:val="en-US" w:eastAsia="zh-CN"/>
        </w:rPr>
        <w:t>日，国家能源局下发《关于推进煤炭与新能源融合发展的指导意见》，提出</w:t>
      </w:r>
      <w:r>
        <w:rPr>
          <w:rFonts w:hint="eastAsia"/>
          <w:highlight w:val="none"/>
          <w:lang w:val="en-US" w:eastAsia="zh-CN"/>
        </w:rPr>
        <w:t>：</w:t>
      </w:r>
      <w:r>
        <w:rPr>
          <w:rFonts w:hint="eastAsia" w:ascii="Times New Roman" w:eastAsia="仿宋"/>
          <w:highlight w:val="none"/>
          <w:lang w:val="en-US" w:eastAsia="zh-CN"/>
        </w:rPr>
        <w:t>依托煤炭矿区资源要素大力发展新能源，有序实施矿区清洁能源替代，到“十五五”末，煤炭矿区光伏风电产业发展模式基本成熟， 建设一批清洁低碳矿区</w:t>
      </w:r>
      <w:r>
        <w:rPr>
          <w:rFonts w:hint="eastAsia"/>
          <w:highlight w:val="none"/>
          <w:lang w:val="en-US" w:eastAsia="zh-CN"/>
        </w:rPr>
        <w:t>。</w:t>
      </w:r>
      <w:r>
        <w:rPr>
          <w:rFonts w:hint="eastAsia" w:ascii="Times New Roman" w:eastAsia="仿宋"/>
          <w:highlight w:val="none"/>
          <w:lang w:val="en-US" w:eastAsia="zh-CN"/>
        </w:rPr>
        <w:t>加快发展矿区光伏风电产业。充分利用采煤沉陷区、工业广场、排土场、 复垦区等场地，加快推进光伏电站建设</w:t>
      </w:r>
      <w:r>
        <w:rPr>
          <w:rFonts w:hint="eastAsia"/>
          <w:highlight w:val="none"/>
          <w:lang w:val="en-US" w:eastAsia="zh-CN"/>
        </w:rPr>
        <w:t>。</w:t>
      </w:r>
      <w:r>
        <w:rPr>
          <w:rFonts w:hint="eastAsia" w:ascii="Times New Roman" w:eastAsia="仿宋"/>
          <w:highlight w:val="none"/>
          <w:lang w:val="en-US" w:eastAsia="zh-CN"/>
        </w:rPr>
        <w:t>鼓励拥有集中连片土地资源、具备良好电网接入条件的产煤地区，规划建设大型光伏基地。</w:t>
      </w:r>
      <w:r>
        <w:rPr>
          <w:rFonts w:hint="eastAsia" w:ascii="Times New Roman" w:eastAsia="仿宋"/>
          <w:lang w:val="en-US" w:eastAsia="zh-CN"/>
        </w:rPr>
        <w:t>(</w:t>
      </w:r>
      <w:r>
        <w:rPr>
          <w:rFonts w:hint="eastAsia"/>
          <w:lang w:val="en-US" w:eastAsia="zh-CN"/>
        </w:rPr>
        <w:t>国家能源局</w:t>
      </w:r>
      <w:r>
        <w:rPr>
          <w:rFonts w:hint="eastAsia" w:ascii="Times New Roman" w:eastAsia="仿宋"/>
          <w:lang w:val="en-US" w:eastAsia="zh-CN"/>
        </w:rPr>
        <w:t>)</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美方宣布暂停实施出口管制穿透性规则一年，商务部回应</w:t>
      </w:r>
    </w:p>
    <w:p w14:paraId="03B6C0F9">
      <w:pPr>
        <w:ind w:firstLine="640" w:firstLineChars="200"/>
        <w:jc w:val="left"/>
        <w:rPr>
          <w:rFonts w:hint="eastAsia"/>
          <w:lang w:val="en-US" w:eastAsia="zh-CN"/>
        </w:rPr>
      </w:pPr>
      <w:r>
        <w:rPr>
          <w:rFonts w:hint="eastAsia"/>
          <w:lang w:val="en-US" w:eastAsia="zh-CN"/>
        </w:rPr>
        <w:t>11月10日，美国商务部产业与安全局在《联邦纪事》上发布公告，宣布暂停实施出口管制穿透性规则一年。商务部回应：中方注意到，美方宣布于2025年11月10日至2026年11月9日暂停实施出口管制穿透性规则，即在此期间，被列入美国出口管制“实体清单”等制裁清单的企业，其持股超过50%的关联企业将不会因穿透性规则被追加同等出口管制制裁。这是美方落实中美吉隆坡经贸磋商共识的重要举措。对于暂停一年后的安排，双方还将会继续讨论。(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中国人民银行发布2025年第三季度货币政策执行报告</w:t>
      </w:r>
    </w:p>
    <w:p w14:paraId="71E2EF05">
      <w:pPr>
        <w:ind w:firstLine="640" w:firstLineChars="200"/>
        <w:jc w:val="left"/>
        <w:rPr>
          <w:rFonts w:hint="eastAsia" w:ascii="Times New Roman" w:eastAsia="仿宋"/>
          <w:lang w:val="en-US" w:eastAsia="zh-CN"/>
        </w:rPr>
      </w:pPr>
      <w:r>
        <w:rPr>
          <w:rFonts w:hint="eastAsia"/>
          <w:lang w:val="en-US" w:eastAsia="zh-CN"/>
        </w:rPr>
        <w:t>11月11日，中国人民银行发布2025年第三季度货币政策执行报告，明确了下一阶段货币政策五大核心思路：保持金融总量合理增长，充分发挥货币信贷政策导向作用，把握好利率、汇率内外均衡，加快金融市场制度建设和高水平对外开放，以及积极稳妥防范化解金融风险。值得注意的是，在货币政策方面，央行表示，要实施好适度宽松的货币政策，保持社会融资条件相对宽松。在防范化解金融风险方面，央行提出拓展丰富中央银行宏观审慎与金融稳定功能，创新金融工具，维护金融市场平稳运行；稳步拓宽附加监管覆盖范围至非银领域。</w:t>
      </w:r>
      <w:r>
        <w:rPr>
          <w:rFonts w:hint="default"/>
          <w:lang w:eastAsia="zh-CN"/>
        </w:rPr>
        <w:t>（</w:t>
      </w:r>
      <w:r>
        <w:rPr>
          <w:rFonts w:hint="eastAsia"/>
          <w:lang w:val="en-US" w:eastAsia="zh-CN"/>
        </w:rPr>
        <w:t>新华社</w:t>
      </w:r>
      <w:r>
        <w:rPr>
          <w:rFonts w:hint="default"/>
          <w:lang w:eastAsia="zh-CN"/>
        </w:rPr>
        <w:t>）</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44CA18DA">
      <w:pPr>
        <w:jc w:val="center"/>
        <w:rPr>
          <w:rFonts w:hint="default" w:ascii="黑体" w:hAnsi="黑体" w:eastAsia="黑体" w:cs="黑体"/>
          <w:b/>
          <w:bCs/>
          <w:lang w:val="en-US" w:eastAsia="zh-CN"/>
        </w:rPr>
      </w:pPr>
      <w:r>
        <w:rPr>
          <w:rFonts w:hint="default" w:ascii="黑体" w:hAnsi="黑体" w:eastAsia="黑体" w:cs="黑体"/>
          <w:b/>
          <w:bCs/>
          <w:lang w:val="en-US" w:eastAsia="zh-CN"/>
        </w:rPr>
        <w:t>2025世界动力电池大会在四川宜宾开幕，签约项目180个 总金额达861.3亿元</w:t>
      </w:r>
    </w:p>
    <w:p w14:paraId="09EFFEA9">
      <w:pPr>
        <w:ind w:firstLine="640" w:firstLineChars="200"/>
        <w:rPr>
          <w:rFonts w:hint="eastAsia" w:ascii="Times New Roman" w:eastAsia="仿宋"/>
          <w:lang w:val="en-US" w:eastAsia="zh-CN"/>
        </w:rPr>
      </w:pPr>
      <w:r>
        <w:rPr>
          <w:rFonts w:hint="eastAsia"/>
          <w:highlight w:val="none"/>
          <w:lang w:val="en-US" w:eastAsia="zh-CN"/>
        </w:rPr>
        <w:t>11月12日，2025世界动力电池大会在四川宜宾正式拉开帷幕，此次大会突出科技创新引领、动力电池产业建圈强链、关联产业融合发展，将进一步促进机遇共享、优势互补、合作共赢，助力全球动力电池产业高质量发展。证券时报记者了解到，2025年前三季度中国动力电池销量同比增长48.9%，全固态电池有望于2030年小批量装车；此外，180个绿色新能源项目现场，签约总金额达861亿元。</w:t>
      </w:r>
      <w:r>
        <w:rPr>
          <w:rFonts w:hint="eastAsia" w:ascii="Times New Roman" w:eastAsia="仿宋"/>
          <w:lang w:val="en-US" w:eastAsia="zh-CN"/>
        </w:rPr>
        <w:t>(</w:t>
      </w:r>
      <w:r>
        <w:rPr>
          <w:rFonts w:hint="eastAsia"/>
          <w:lang w:val="en-US" w:eastAsia="zh-CN"/>
        </w:rPr>
        <w:t>证券时报</w:t>
      </w:r>
      <w:r>
        <w:rPr>
          <w:rFonts w:hint="eastAsia" w:ascii="Times New Roman" w:eastAsia="仿宋"/>
          <w:lang w:val="en-US" w:eastAsia="zh-CN"/>
        </w:rPr>
        <w:t>)</w:t>
      </w:r>
    </w:p>
    <w:p w14:paraId="176A97DE">
      <w:pPr>
        <w:pStyle w:val="3"/>
        <w:bidi w:val="0"/>
        <w:jc w:val="center"/>
        <w:rPr>
          <w:rFonts w:hint="default"/>
          <w:lang w:val="en-US" w:eastAsia="zh-CN"/>
        </w:rPr>
      </w:pPr>
      <w:r>
        <w:rPr>
          <w:rFonts w:hint="eastAsia"/>
          <w:lang w:val="en-US" w:eastAsia="zh-CN"/>
        </w:rPr>
        <w:t>我国首个具备“万辆级”产能的电动垂直起降飞行汽车工厂在广州进入试产阶段</w:t>
      </w:r>
    </w:p>
    <w:p w14:paraId="4420A97B">
      <w:pPr>
        <w:ind w:firstLine="640" w:firstLineChars="200"/>
        <w:rPr>
          <w:rFonts w:hint="eastAsia"/>
          <w:lang w:val="en-US" w:eastAsia="zh-CN"/>
        </w:rPr>
      </w:pPr>
      <w:r>
        <w:rPr>
          <w:rFonts w:hint="eastAsia"/>
          <w:lang w:val="en-US" w:eastAsia="zh-CN"/>
        </w:rPr>
        <w:t>11月12日，首个具备“万辆级”产能的电动垂直起降飞行汽车工厂在广州进入试产阶段。而这标志着在低空经济领域，该类产品在国内首次进入规模化制造环节。据介绍，待完成相关验证与适航取证后，工厂将按照规划逐步进入量产，实现飞行汽车从“小批量验证”迈向“规模化制造”的跨越。值得注意的是，在广州低空经济领域，小鹏汇天、亿航智能已成为两大领军企业。在黄埔区，小鹏汇天飞行汽车量产工厂内首台“陆地航母”飞行器近日顺利下线，标志着全球首条飞行汽车量产线贯通。(广东省工商联)</w:t>
      </w:r>
    </w:p>
    <w:p w14:paraId="06D75077">
      <w:pPr>
        <w:rPr>
          <w:rFonts w:hint="default"/>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10月我国新能源汽车销量首次超总销量的50%</w:t>
      </w:r>
    </w:p>
    <w:p w14:paraId="39DA2E50">
      <w:pPr>
        <w:ind w:firstLine="640" w:firstLineChars="200"/>
        <w:rPr>
          <w:rFonts w:hint="eastAsia"/>
          <w:highlight w:val="none"/>
          <w:lang w:val="en-US" w:eastAsia="zh-CN"/>
        </w:rPr>
      </w:pPr>
      <w:r>
        <w:rPr>
          <w:rFonts w:hint="eastAsia"/>
          <w:highlight w:val="none"/>
          <w:lang w:val="en-US" w:eastAsia="zh-CN"/>
        </w:rPr>
        <w:t>11月11日，中国汽车工业协会发布的最新数据显示，今年1至10月份，我国新能源汽车产销量继续实现较高增长。其中，10月份新能源汽车月度新车销量首次超过了汽车新车总销量的50%。最新数据显示，今年1至10月份，我国汽车产销量分别完成2769.2万辆和2768.7万辆，同比增长均超过10%。其中，新能源汽车产销量分别完成1301.5万辆和1294.3万辆，同比分别增长33.1%和32.7%。值得注意的是，10月份新能源汽车月度新车销量，首次超过了汽车新车总销量的50%，达到51.6%。在出口方面，今年1至10月份，新能源汽车出口201.4万辆，同比增长90.4%。（WIND）</w:t>
      </w:r>
    </w:p>
    <w:p w14:paraId="6372C955">
      <w:pPr>
        <w:rPr>
          <w:rFonts w:hint="eastAsia"/>
          <w:highlight w:val="none"/>
          <w:lang w:val="en-US" w:eastAsia="zh-CN"/>
        </w:rPr>
      </w:pP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闪迪NAND闪存合约报价暴涨50%之后，更多存储厂商开始“蠢蠢欲动”</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11月12日，据韩国《朝鲜日报》，三星电子、SK海力士和铠侠等正在谋划推动NAND价格上调。去年一整年，NAND售价几乎停留在成本价水平。据悉，三星目前正与海外大型客户讨论明年的供货量，并在内部考虑将价格上调20%至30%以上。与此同时，三星、SK海力士、铠侠、美光这四大存储龙头今年下半年都纷纷削减NAND闪存供应量。业内分析认为，一方面原因在于这些公司希望通过调节供应来推动价格上涨；另一方面，随着AI需求推动更多产线转向四层单元（QLC）工艺中，NAND闪存产量下降在所难免。</w:t>
      </w:r>
      <w:r>
        <w:rPr>
          <w:rFonts w:hint="eastAsia" w:ascii="Times New Roman" w:eastAsia="仿宋"/>
          <w:highlight w:val="none"/>
          <w:lang w:val="en-US" w:eastAsia="zh-CN"/>
        </w:rPr>
        <w:t>(</w:t>
      </w:r>
      <w:r>
        <w:rPr>
          <w:rFonts w:hint="eastAsia"/>
          <w:highlight w:val="none"/>
          <w:lang w:val="en-US" w:eastAsia="zh-CN"/>
        </w:rPr>
        <w:t>智通财经)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优必选全尺寸工业人形机器人Walker S2开启量产交付</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11 月 12 日，据RNEA获悉，优必选首批数百台全尺寸工业人形机器人 Walker S2 正式开启量产交付，将分批投入产业一线应用。同时，官方发布了一段颇为震撼的交付视频“亮剑集结，全力以‘付’”。据RNEA获悉，Walker S2 是面向智能制造场景的全尺寸工业人形机器人，通过迭代的群脑网络 2.0（BrainNet 2.0），搭载自研的全球首个专用于工业人形机器人本体的智能体技术 Co-Agent。</w:t>
      </w:r>
      <w:r>
        <w:rPr>
          <w:rFonts w:hint="eastAsia" w:ascii="Times New Roman" w:eastAsia="仿宋"/>
          <w:highlight w:val="none"/>
          <w:lang w:val="en-US" w:eastAsia="zh-CN"/>
        </w:rPr>
        <w:t>（</w:t>
      </w:r>
      <w:r>
        <w:rPr>
          <w:rFonts w:hint="eastAsia"/>
          <w:highlight w:val="none"/>
          <w:lang w:val="en-US" w:eastAsia="zh-CN"/>
        </w:rPr>
        <w:t>RNEA</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1EABFD3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普天科技：中标中国铁塔股份有限公司四川省分公司采购项目，中标金额为153.77万元</w:t>
      </w:r>
    </w:p>
    <w:p w14:paraId="2DF56610">
      <w:pPr>
        <w:ind w:firstLine="640" w:firstLineChars="200"/>
        <w:jc w:val="left"/>
        <w:rPr>
          <w:rFonts w:hint="eastAsia"/>
          <w:highlight w:val="none"/>
          <w:lang w:val="en-US" w:eastAsia="zh-CN"/>
        </w:rPr>
      </w:pPr>
      <w:r>
        <w:rPr>
          <w:rFonts w:hint="eastAsia"/>
          <w:highlight w:val="none"/>
          <w:lang w:val="en-US" w:eastAsia="zh-CN"/>
        </w:rPr>
        <w:t>11月13日，同壁财经讯，企查查数据显示，根据《铁塔能源有限公司四川分公司2025年能源业务能源技术服务采购项目成交候选供应商结果公示》，中电科普天科技股份有限公司于2025年11月13日公告中标中国铁塔股份有限公司四川省分公司采购项目，中标金额为153.77万元。</w:t>
      </w:r>
      <w:r>
        <w:rPr>
          <w:rFonts w:hint="eastAsia" w:ascii="Times New Roman" w:eastAsia="仿宋"/>
          <w:highlight w:val="none"/>
          <w:lang w:val="en-US" w:eastAsia="zh-CN"/>
        </w:rPr>
        <w:t>（同壁财经）</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 xml:space="preserve"> 德福科技获得发明专利授权：“一种多层结构铜箔、制备方法、印制线路板”</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11月13日，证券之星消息，根据天眼查APP数据显示德福科技（301511）新获得一项发明专利授权，专利名为“一种多层结构铜箔、制备方法、印制线路板”，专利申请号为CN202411862733.6，授权日为2025年11月11日。专利摘要：本发明涉及电解技术领域，尤其是涉及一种多层结构铜箔、制备方法、印制线路板。所述多层结构铜箔包含第一层铜箔层、第二层铜箔层和第三层铜箔层；以及设置在第一层铜箔层和第二层铜箔层之间的第一层隔离涂层；设置在第二层铜箔层和第三层铜箔层之间的第二层隔离涂层；和设置在第三层铜箔层远离第二层隔离涂层一边的表面粗糙化层。本发明提供一种多层结构铜箔，对比传统单层铜箔其厚度在生产时就已经定型，如在生产端铜箔厚度设定为12μm，那么下游印制线路板厂商在使用时就会根据12μm铜箔的规格进行加工工艺匹配。本发明设计的多层结构铜箔关键是由多层隔离涂层和铜箔层结构组成，其中多层隔离涂层的耐温性不同。（证券之星）</w:t>
      </w:r>
    </w:p>
    <w:p w14:paraId="7F6246FC">
      <w:pPr>
        <w:rPr>
          <w:rFonts w:hint="eastAsia" w:ascii="Times New Roman" w:eastAsia="仿宋"/>
          <w:highlight w:val="none"/>
          <w:lang w:val="en-US" w:eastAsia="zh-CN"/>
        </w:rPr>
      </w:pP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泰国超颖将投资14.68亿元用于AI算力的高阶印制电路板扩产项目</w:t>
      </w:r>
    </w:p>
    <w:p w14:paraId="7C7C5314">
      <w:pPr>
        <w:ind w:firstLine="640" w:firstLineChars="200"/>
        <w:jc w:val="left"/>
        <w:rPr>
          <w:rFonts w:hint="eastAsia"/>
          <w:highlight w:val="none"/>
          <w:lang w:val="en-US" w:eastAsia="zh-CN"/>
        </w:rPr>
      </w:pPr>
      <w:r>
        <w:rPr>
          <w:rFonts w:hint="eastAsia"/>
          <w:highlight w:val="none"/>
          <w:lang w:val="en-US" w:eastAsia="zh-CN"/>
        </w:rPr>
        <w:t>11月10日晚，超颖电子公司公告称，其全资子公司泰国超颖将投资14.68亿元，在泰国巴真府建设用于AI算力的高阶印制电路板扩产项目，建设期为12个月。此次投资距离公司IPO募投项目黄石P2厂启动不到半年，显示出其产能扩张节奏较快、布局较为积极。（证券之星）</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沪电股份子公司拟9500万元购买先创电子厂房</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11月12日，沪电股份发布公告称，公司审议通过《关于全资子公司购买资产暨关联交易的议案》，同意全资子公司昆山沪利微电有限公司以不超过9500万元的价格，向关联方昆山先创电子有限公司购买位于昆山综合保税区的生产用厂房及对应的土地使用权。（香港万得通讯社）</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115849"/>
    <w:rsid w:val="08773E7A"/>
    <w:rsid w:val="08C477D5"/>
    <w:rsid w:val="09762B92"/>
    <w:rsid w:val="09834103"/>
    <w:rsid w:val="0A21302B"/>
    <w:rsid w:val="0A46280F"/>
    <w:rsid w:val="0A977BD6"/>
    <w:rsid w:val="0AFA5870"/>
    <w:rsid w:val="0B19257F"/>
    <w:rsid w:val="0B22064F"/>
    <w:rsid w:val="0B3F58BD"/>
    <w:rsid w:val="0B494101"/>
    <w:rsid w:val="0B6426D4"/>
    <w:rsid w:val="0B78105E"/>
    <w:rsid w:val="0B9176F8"/>
    <w:rsid w:val="0C9B6BDE"/>
    <w:rsid w:val="0C9C373F"/>
    <w:rsid w:val="0CCF6098"/>
    <w:rsid w:val="0CFA5CD7"/>
    <w:rsid w:val="0D126C01"/>
    <w:rsid w:val="0D9373FE"/>
    <w:rsid w:val="0DAC478F"/>
    <w:rsid w:val="0DB15454"/>
    <w:rsid w:val="0DE43C80"/>
    <w:rsid w:val="0E2B494A"/>
    <w:rsid w:val="0E47788B"/>
    <w:rsid w:val="0E777996"/>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0B41DA"/>
    <w:rsid w:val="15251B3B"/>
    <w:rsid w:val="1526048F"/>
    <w:rsid w:val="15B46645"/>
    <w:rsid w:val="15B56E2A"/>
    <w:rsid w:val="15DB7145"/>
    <w:rsid w:val="15E46F00"/>
    <w:rsid w:val="16960A92"/>
    <w:rsid w:val="16BC1C2B"/>
    <w:rsid w:val="16CF0148"/>
    <w:rsid w:val="17062EEA"/>
    <w:rsid w:val="17555A33"/>
    <w:rsid w:val="17876D25"/>
    <w:rsid w:val="182267CA"/>
    <w:rsid w:val="18A46E1B"/>
    <w:rsid w:val="199B6470"/>
    <w:rsid w:val="1A622AE9"/>
    <w:rsid w:val="1A8C739D"/>
    <w:rsid w:val="1AB13D5A"/>
    <w:rsid w:val="1AE60D31"/>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B927FF"/>
    <w:rsid w:val="22E43154"/>
    <w:rsid w:val="2489657E"/>
    <w:rsid w:val="24B27142"/>
    <w:rsid w:val="24E7219B"/>
    <w:rsid w:val="251A5E6D"/>
    <w:rsid w:val="25512847"/>
    <w:rsid w:val="25761848"/>
    <w:rsid w:val="261B7921"/>
    <w:rsid w:val="264755DA"/>
    <w:rsid w:val="26B2130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6743E3"/>
    <w:rsid w:val="33A05842"/>
    <w:rsid w:val="33B80305"/>
    <w:rsid w:val="33E62FE3"/>
    <w:rsid w:val="340919EE"/>
    <w:rsid w:val="3442486C"/>
    <w:rsid w:val="345D0180"/>
    <w:rsid w:val="34AE33AA"/>
    <w:rsid w:val="34D423BC"/>
    <w:rsid w:val="350E5A19"/>
    <w:rsid w:val="35130D79"/>
    <w:rsid w:val="35284C04"/>
    <w:rsid w:val="35523A2F"/>
    <w:rsid w:val="35727C2D"/>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A6377F7"/>
    <w:rsid w:val="3A733271"/>
    <w:rsid w:val="3AC73557"/>
    <w:rsid w:val="3AE8373F"/>
    <w:rsid w:val="3AF712CC"/>
    <w:rsid w:val="3B170BE2"/>
    <w:rsid w:val="3B246918"/>
    <w:rsid w:val="3B66696F"/>
    <w:rsid w:val="3B835876"/>
    <w:rsid w:val="3BCD47A7"/>
    <w:rsid w:val="3BFA4E20"/>
    <w:rsid w:val="3C402568"/>
    <w:rsid w:val="3C503CCB"/>
    <w:rsid w:val="3DD75419"/>
    <w:rsid w:val="3DF17D30"/>
    <w:rsid w:val="3DF340B9"/>
    <w:rsid w:val="3E526AD0"/>
    <w:rsid w:val="3E5C7080"/>
    <w:rsid w:val="3FBC4A1D"/>
    <w:rsid w:val="40212FAA"/>
    <w:rsid w:val="41482E61"/>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58E1B25"/>
    <w:rsid w:val="46F224F1"/>
    <w:rsid w:val="470D5B9F"/>
    <w:rsid w:val="474A22AA"/>
    <w:rsid w:val="47E524E0"/>
    <w:rsid w:val="4860600B"/>
    <w:rsid w:val="4873716A"/>
    <w:rsid w:val="48B122FB"/>
    <w:rsid w:val="495906E1"/>
    <w:rsid w:val="49624874"/>
    <w:rsid w:val="496C7652"/>
    <w:rsid w:val="49FD6C71"/>
    <w:rsid w:val="4A0842C1"/>
    <w:rsid w:val="4ACA41D4"/>
    <w:rsid w:val="4AD72DEE"/>
    <w:rsid w:val="4AE239CC"/>
    <w:rsid w:val="4B7A2929"/>
    <w:rsid w:val="4BB16EEF"/>
    <w:rsid w:val="4BB308C1"/>
    <w:rsid w:val="4D235647"/>
    <w:rsid w:val="4D761E2D"/>
    <w:rsid w:val="4DB725C0"/>
    <w:rsid w:val="4DBA440F"/>
    <w:rsid w:val="4DD93651"/>
    <w:rsid w:val="4E1C41B2"/>
    <w:rsid w:val="4E9563FB"/>
    <w:rsid w:val="4F472002"/>
    <w:rsid w:val="4F92297F"/>
    <w:rsid w:val="4FE9329C"/>
    <w:rsid w:val="4FFE3E1D"/>
    <w:rsid w:val="50255A1F"/>
    <w:rsid w:val="50393156"/>
    <w:rsid w:val="5061150F"/>
    <w:rsid w:val="50D531EC"/>
    <w:rsid w:val="51267CC7"/>
    <w:rsid w:val="513545B7"/>
    <w:rsid w:val="51C21231"/>
    <w:rsid w:val="523A7692"/>
    <w:rsid w:val="5295690B"/>
    <w:rsid w:val="52DB4C0C"/>
    <w:rsid w:val="52ED4D9B"/>
    <w:rsid w:val="530C1269"/>
    <w:rsid w:val="53114AD1"/>
    <w:rsid w:val="534A4FB9"/>
    <w:rsid w:val="535B4DE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7EF3BD4"/>
    <w:rsid w:val="580E7C59"/>
    <w:rsid w:val="58C70A30"/>
    <w:rsid w:val="591B0458"/>
    <w:rsid w:val="5949510A"/>
    <w:rsid w:val="59495621"/>
    <w:rsid w:val="599124C8"/>
    <w:rsid w:val="5A061CF3"/>
    <w:rsid w:val="5AB752E1"/>
    <w:rsid w:val="5AE20ED1"/>
    <w:rsid w:val="5B61236E"/>
    <w:rsid w:val="5BEE5F28"/>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002AD"/>
    <w:rsid w:val="6CCE6BBD"/>
    <w:rsid w:val="6CD17894"/>
    <w:rsid w:val="6D0914F3"/>
    <w:rsid w:val="6D565020"/>
    <w:rsid w:val="6D635AD2"/>
    <w:rsid w:val="6D8F625A"/>
    <w:rsid w:val="6DAA33EF"/>
    <w:rsid w:val="6DD134BB"/>
    <w:rsid w:val="6DD81838"/>
    <w:rsid w:val="6E20323A"/>
    <w:rsid w:val="6E31210E"/>
    <w:rsid w:val="6E71421E"/>
    <w:rsid w:val="6F401113"/>
    <w:rsid w:val="6F47651F"/>
    <w:rsid w:val="6F780080"/>
    <w:rsid w:val="703674CE"/>
    <w:rsid w:val="709A3F00"/>
    <w:rsid w:val="70B623BC"/>
    <w:rsid w:val="712F0AD2"/>
    <w:rsid w:val="71A96764"/>
    <w:rsid w:val="71AD6C8E"/>
    <w:rsid w:val="71B8286E"/>
    <w:rsid w:val="72B2653C"/>
    <w:rsid w:val="732764FB"/>
    <w:rsid w:val="73946B2F"/>
    <w:rsid w:val="74576EE0"/>
    <w:rsid w:val="748070FC"/>
    <w:rsid w:val="74B8340E"/>
    <w:rsid w:val="74BC1E14"/>
    <w:rsid w:val="75FA729D"/>
    <w:rsid w:val="76C543E8"/>
    <w:rsid w:val="77025C02"/>
    <w:rsid w:val="771E02F9"/>
    <w:rsid w:val="77A576CA"/>
    <w:rsid w:val="785D67BD"/>
    <w:rsid w:val="78903D77"/>
    <w:rsid w:val="789F5C2E"/>
    <w:rsid w:val="78BE62B2"/>
    <w:rsid w:val="793D02F4"/>
    <w:rsid w:val="79576B39"/>
    <w:rsid w:val="79E24222"/>
    <w:rsid w:val="79E355ED"/>
    <w:rsid w:val="7A022808"/>
    <w:rsid w:val="7A3309A2"/>
    <w:rsid w:val="7A4D5F33"/>
    <w:rsid w:val="7AD65B35"/>
    <w:rsid w:val="7B050F64"/>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3005</Words>
  <Characters>3195</Characters>
  <Lines>1</Lines>
  <Paragraphs>1</Paragraphs>
  <TotalTime>1392</TotalTime>
  <ScaleCrop>false</ScaleCrop>
  <LinksUpToDate>false</LinksUpToDate>
  <CharactersWithSpaces>3241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2025-11-13T06:24:10Z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374121CACD794DB3969D391A6366BA06_13</vt:lpwstr>
  </property>
  <property fmtid="{D5CDD505-2E9C-101B-9397-08002B2CF9AE}" pid="4" name="KSOTemplateDocerSaveRecord">
    <vt:lpwstr>eyJoZGlkIjoiZWFlNjQ3NDIwZDEwN2RkZjI5ZmVhOGI2NjVlYTBkMTciLCJ1c2VySWQiOiIxMzgyMTM1ODU2In0=</vt:lpwstr>
  </property>
</Properties>
</file>