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第111期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2025年9月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每周资讯|八部门联合发文大力发展数字消费；胜宏科技泰国工厂一期升级改造已完成并投产；摩尔线程IPO审议通过</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1C0CB289">
      <w:pPr>
        <w:jc w:val="center"/>
        <w:rPr>
          <w:rFonts w:hint="default" w:ascii="黑体" w:hAnsi="黑体" w:eastAsia="黑体" w:cs="黑体"/>
          <w:b/>
          <w:bCs/>
          <w:lang w:val="en-US" w:eastAsia="zh-CN"/>
        </w:rPr>
      </w:pPr>
      <w:r>
        <w:rPr>
          <w:rFonts w:hint="default" w:ascii="黑体" w:hAnsi="黑体" w:eastAsia="黑体" w:cs="黑体"/>
          <w:b/>
          <w:bCs/>
          <w:lang w:val="en-US" w:eastAsia="zh-CN"/>
        </w:rPr>
        <w:t>八部门联合发文大力发展数字消费</w:t>
      </w:r>
    </w:p>
    <w:p w14:paraId="59368A05">
      <w:pPr>
        <w:ind w:firstLine="640" w:firstLineChars="200"/>
        <w:rPr>
          <w:rFonts w:hint="default" w:ascii="黑体" w:hAnsi="黑体" w:eastAsia="黑体" w:cs="黑体"/>
          <w:b/>
          <w:bCs/>
          <w:lang w:val="en-US" w:eastAsia="zh-CN"/>
        </w:rPr>
      </w:pPr>
      <w:r>
        <w:rPr>
          <w:rFonts w:hint="eastAsia" w:ascii="Times New Roman" w:eastAsia="仿宋"/>
          <w:highlight w:val="none"/>
          <w:lang w:val="en-US" w:eastAsia="zh-CN"/>
        </w:rPr>
        <w:t>9月24日，商务部等八部门联合印发《关于大力发展数字消费共创数字时代美好生活的指导意见》（以下简称《指导意见》）。《指导意见》全面贯彻落实党中央、国务院决策部署，发挥超大规模市场优势，扩大数字消费多元化供给，创新和丰富数字消费场景，促进数字消费更高水平供需动态平衡，激发和增强社会经济活力，共创数字时代美好生活。</w:t>
      </w:r>
      <w:r>
        <w:rPr>
          <w:rFonts w:hint="eastAsia" w:ascii="Times New Roman" w:eastAsia="仿宋"/>
          <w:lang w:val="en-US" w:eastAsia="zh-CN"/>
        </w:rPr>
        <w:t>(</w:t>
      </w:r>
      <w:r>
        <w:rPr>
          <w:rFonts w:hint="eastAsia"/>
          <w:lang w:val="en-US" w:eastAsia="zh-CN"/>
        </w:rPr>
        <w:t>商务部</w:t>
      </w:r>
      <w:r>
        <w:rPr>
          <w:rFonts w:hint="eastAsia" w:ascii="Times New Roman" w:eastAsia="仿宋"/>
          <w:lang w:val="en-US" w:eastAsia="zh-CN"/>
        </w:rPr>
        <w:t>)</w:t>
      </w:r>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79E56F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工信部：将优化新能源汽车车辆购置税、车船税等优惠措施</w:t>
      </w:r>
    </w:p>
    <w:p w14:paraId="03B6C0F9">
      <w:pPr>
        <w:ind w:firstLine="640" w:firstLineChars="200"/>
        <w:jc w:val="left"/>
        <w:rPr>
          <w:rFonts w:hint="eastAsia"/>
          <w:lang w:val="en-US" w:eastAsia="zh-CN"/>
        </w:rPr>
      </w:pPr>
      <w:r>
        <w:rPr>
          <w:rFonts w:hint="eastAsia"/>
          <w:lang w:val="en-US" w:eastAsia="zh-CN"/>
        </w:rPr>
        <w:t>9月27日，在2025世界新能源车大会上，工业和信息化部副部长熊继军提出，将进一步支持技术攻关，加快车用大算力芯片、操作系统、大模型、新体系电池等技术的突破，增强产业发展的内生动力；进一步扩大市场消费，实施新一轮汽车行业稳增长工作方案，优化新能源汽车车辆购置税、车船税等优惠措施，深入推进新能源汽车下乡。中国科协主席、世界新能源汽车大会主席万钢表示，要实现L3（有条件自动驾驶）、L4（高度自动驾驶）级别的自动驾驶，需要智慧的道路和云计算技术平台的支撑。(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国家发展改革委主任郑栅洁主持召开座谈会，听取“十五五”时期扩内需稳就业意见建议</w:t>
      </w:r>
    </w:p>
    <w:p w14:paraId="71E2EF05">
      <w:pPr>
        <w:ind w:firstLine="640" w:firstLineChars="200"/>
        <w:jc w:val="left"/>
        <w:rPr>
          <w:rFonts w:hint="eastAsia" w:ascii="Times New Roman" w:eastAsia="仿宋"/>
          <w:lang w:val="en-US" w:eastAsia="zh-CN"/>
        </w:rPr>
      </w:pPr>
      <w:r>
        <w:rPr>
          <w:rFonts w:hint="eastAsia"/>
          <w:lang w:val="en-US" w:eastAsia="zh-CN"/>
        </w:rPr>
        <w:t>8月25日，国家发展改革委主任郑栅洁主持召开企业座谈会，围绕科学编制“十五五”规划，听取关于扩内需、稳就业等方面意见建议。座谈会上，企业负责人逐一介绍自身生产经营和所在行业发展情况，并对“十五五”时期发展提出了具体政策建议；郑栅洁主任认真听取企业发言，与大家深入沟通交流。参会企业谈到，面对近年来国际国内市场发展新机遇、新挑战，企业积极谋划转型发展，着力推动国内外市场相互联通、相互促进，努力服务构建新发展格局。建议国家在编制“十五五”规划时，进一步完善扩大国内需求、促进市场有序竞争、知识产权保护、绿色低碳发展、企业人才和用工保障等方面政策，助力企业实现更好发展。</w:t>
      </w:r>
      <w:r>
        <w:rPr>
          <w:rFonts w:hint="default"/>
          <w:lang w:eastAsia="zh-CN"/>
        </w:rPr>
        <w:t>（</w:t>
      </w:r>
      <w:r>
        <w:rPr>
          <w:rFonts w:hint="eastAsia"/>
          <w:lang w:val="en-US" w:eastAsia="zh-CN"/>
        </w:rPr>
        <w:t>国家发改委</w:t>
      </w:r>
      <w:r>
        <w:rPr>
          <w:rFonts w:hint="default"/>
          <w:lang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44CA18DA">
      <w:pPr>
        <w:jc w:val="center"/>
        <w:rPr>
          <w:rFonts w:hint="default" w:ascii="黑体" w:hAnsi="黑体" w:eastAsia="黑体" w:cs="黑体"/>
          <w:b/>
          <w:bCs/>
          <w:lang w:val="en-US" w:eastAsia="zh-CN"/>
        </w:rPr>
      </w:pPr>
      <w:r>
        <w:rPr>
          <w:rFonts w:hint="default" w:ascii="黑体" w:hAnsi="黑体" w:eastAsia="黑体" w:cs="黑体"/>
          <w:b/>
          <w:bCs/>
          <w:lang w:val="en-US" w:eastAsia="zh-CN"/>
        </w:rPr>
        <w:t>第四届数贸会实现45个重大项目签约</w:t>
      </w:r>
      <w:r>
        <w:rPr>
          <w:rFonts w:hint="eastAsia" w:ascii="黑体" w:hAnsi="黑体" w:eastAsia="黑体" w:cs="黑体"/>
          <w:b/>
          <w:bCs/>
          <w:lang w:val="en-US" w:eastAsia="zh-CN"/>
        </w:rPr>
        <w:t>，</w:t>
      </w:r>
      <w:r>
        <w:rPr>
          <w:rFonts w:hint="default" w:ascii="黑体" w:hAnsi="黑体" w:eastAsia="黑体" w:cs="黑体"/>
          <w:b/>
          <w:bCs/>
          <w:lang w:val="en-US" w:eastAsia="zh-CN"/>
        </w:rPr>
        <w:t>总投资额648.7亿元</w:t>
      </w:r>
    </w:p>
    <w:p w14:paraId="09EFFEA9">
      <w:pPr>
        <w:ind w:firstLine="640" w:firstLineChars="200"/>
        <w:rPr>
          <w:rFonts w:hint="eastAsia" w:ascii="Times New Roman" w:eastAsia="仿宋"/>
          <w:lang w:val="en-US" w:eastAsia="zh-CN"/>
        </w:rPr>
      </w:pPr>
      <w:r>
        <w:rPr>
          <w:rFonts w:hint="eastAsia" w:ascii="Times New Roman" w:eastAsia="仿宋"/>
          <w:highlight w:val="none"/>
          <w:lang w:val="en-US" w:eastAsia="zh-CN"/>
        </w:rPr>
        <w:t>9月25日，第四届全球数字贸易博览会举行重大项目签约仪式，45个现场签约项目总投资额达648.7亿元人民币（含3亿美元），将为区域产业升级与经济高质量发展注入强劲动力。据了解，此次签约的项目重点聚焦数字经济、人工智能、智能制造、新能源、智慧物流、金融科技等领域，这些项目代表着产业升级和技术变革的主要方向。</w:t>
      </w:r>
      <w:r>
        <w:rPr>
          <w:rFonts w:hint="eastAsia" w:ascii="Times New Roman" w:eastAsia="仿宋"/>
          <w:lang w:val="en-US" w:eastAsia="zh-CN"/>
        </w:rPr>
        <w:t>(</w:t>
      </w:r>
      <w:r>
        <w:rPr>
          <w:rFonts w:hint="eastAsia"/>
          <w:lang w:val="en-US" w:eastAsia="zh-CN"/>
        </w:rPr>
        <w:t>中国青年报</w:t>
      </w:r>
      <w:r>
        <w:rPr>
          <w:rFonts w:hint="eastAsia" w:ascii="Times New Roman" w:eastAsia="仿宋"/>
          <w:lang w:val="en-US" w:eastAsia="zh-CN"/>
        </w:rPr>
        <w:t>)</w:t>
      </w:r>
    </w:p>
    <w:p w14:paraId="176A97DE">
      <w:pPr>
        <w:pStyle w:val="3"/>
        <w:bidi w:val="0"/>
        <w:jc w:val="center"/>
        <w:rPr>
          <w:rFonts w:hint="default"/>
          <w:lang w:val="en-US" w:eastAsia="zh-CN"/>
        </w:rPr>
      </w:pPr>
      <w:r>
        <w:rPr>
          <w:rFonts w:hint="eastAsia"/>
          <w:lang w:val="en-US" w:eastAsia="zh-CN"/>
        </w:rPr>
        <w:t>国家能源局：截至8月底全国累计发电装机容量36.9亿千瓦</w:t>
      </w:r>
    </w:p>
    <w:p w14:paraId="4420A97B">
      <w:pPr>
        <w:ind w:firstLine="640" w:firstLineChars="200"/>
        <w:rPr>
          <w:rFonts w:hint="eastAsia"/>
          <w:lang w:val="en-US" w:eastAsia="zh-CN"/>
        </w:rPr>
      </w:pPr>
      <w:r>
        <w:rPr>
          <w:rFonts w:hint="eastAsia"/>
          <w:lang w:val="en-US" w:eastAsia="zh-CN"/>
        </w:rPr>
        <w:t>9月26日，据国家能源局微信公众号消息，9月26日，国家能源局发布1-8月份全国电力工业统计数据。截至8月底，全国累计发电装机容量36.9亿千瓦，同比增长18.0%。其中，太阳能发电装机容量11.2亿千瓦，同比增长48.5%；风电装机容量5.8亿千瓦，同比增长22.1%。1-8月份，全国发电设备累计平均利用2105小时，比上年同期降低223小时。(国家能源局)</w:t>
      </w:r>
      <w:bookmarkStart w:id="0" w:name="_GoBack"/>
      <w:bookmarkEnd w:id="0"/>
    </w:p>
    <w:p w14:paraId="06D75077">
      <w:pPr>
        <w:rPr>
          <w:rFonts w:hint="default"/>
          <w:lang w:val="en-US" w:eastAsia="zh-CN"/>
        </w:rPr>
      </w:pPr>
      <w:r>
        <w:rPr>
          <w:rFonts w:hint="eastAsia"/>
          <w:lang w:val="en-US" w:eastAsia="zh-CN"/>
        </w:rPr>
        <w:t xml:space="preserve"> </w:t>
      </w: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七部门联合发布“人工智能+交通运输”意见，2030年智能交通网将达世界前列</w:t>
      </w:r>
    </w:p>
    <w:p w14:paraId="39DA2E50">
      <w:pPr>
        <w:ind w:firstLine="640" w:firstLineChars="200"/>
        <w:rPr>
          <w:rFonts w:hint="eastAsia"/>
          <w:highlight w:val="none"/>
          <w:lang w:val="en-US" w:eastAsia="zh-CN"/>
        </w:rPr>
      </w:pPr>
      <w:r>
        <w:rPr>
          <w:rFonts w:hint="eastAsia"/>
          <w:highlight w:val="none"/>
          <w:lang w:val="en-US" w:eastAsia="zh-CN"/>
        </w:rPr>
        <w:t>9月27日，交通运输部、国家发展改革委等七部门联合印发《关于“人工智能＋交通运输”的实施意见》（简称《意见》），部署建设综合交通运输大模型等16项具体任务，推动人工智能在交通运输领域规模化创新应用，助力实现“人享其行、物畅其流”美好愿景。交通运输部科技司综合处处长邢凡胜表示，《意见》印发后，交通运输部还将组织建设综合交通运输大模型，加快普及智能体应用。同时，采用“科技+工程”模式，围绕大通道货车自动驾驶、内河货运船舶自主编队航行、公路重大灾害智能管控处置、公路自由流收费、高速磁浮系统等典型应用，推动实施一批创新工程。（WIND）</w:t>
      </w: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大众削减产量并暂时关闭德国工厂</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9月26日，智通财经，由于电动汽车需求增长速度不及预期，大众汽车正在削减产量，并暂时关闭其两家德国工厂。由于奥迪Q4 e-tron需求疲软，大众位于茨维考的工厂将从10月6日起停产一周。该车型正受到美国关税以及德国放松新内燃机汽车销售禁令的冲击。知情人士透露，生产大众品牌ID.4和ID.7车型的埃姆登工厂已经减少员工工作时间，预计还将关闭生产线数日。</w:t>
      </w:r>
      <w:r>
        <w:rPr>
          <w:rFonts w:hint="eastAsia" w:ascii="Times New Roman" w:eastAsia="仿宋"/>
          <w:highlight w:val="none"/>
          <w:lang w:val="en-US" w:eastAsia="zh-CN"/>
        </w:rPr>
        <w:t>(</w:t>
      </w:r>
      <w:r>
        <w:rPr>
          <w:rFonts w:hint="eastAsia"/>
          <w:highlight w:val="none"/>
          <w:lang w:val="en-US" w:eastAsia="zh-CN"/>
        </w:rPr>
        <w:t>智通财经)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摩尔线程IPO审议通过</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9月26日，上交所上市委发布2025年第40次审议会议结果公告，摩尔线程智能科技（北京）股份有限公司（以下简称“摩尔线程”）首发上市获得通过。从科创板IPO申报受理到过会，摩尔线程仅经历了88天的时间。研发人员占比超过75%。摩尔线程成立于2020年，以自主研发的全功能GPU为核心，致力于为AI、数字孪生、科学计算等高性能计算领域提供计算加速平台。目前，摩尔线程已成功推出四代GPU架构，并拓展出覆盖AI智算、云计算和个人智算等应用领域的计算加速产品矩阵。</w:t>
      </w:r>
      <w:r>
        <w:rPr>
          <w:rFonts w:hint="eastAsia" w:ascii="Times New Roman" w:eastAsia="仿宋"/>
          <w:highlight w:val="none"/>
          <w:lang w:val="en-US" w:eastAsia="zh-CN"/>
        </w:rPr>
        <w:t>（</w:t>
      </w:r>
      <w:r>
        <w:rPr>
          <w:rFonts w:hint="eastAsia"/>
          <w:highlight w:val="none"/>
          <w:lang w:val="en-US" w:eastAsia="zh-CN"/>
        </w:rPr>
        <w:t>IDC</w:t>
      </w:r>
      <w:r>
        <w:rPr>
          <w:rFonts w:hint="eastAsia" w:ascii="Times New Roman" w:eastAsia="仿宋"/>
          <w:highlight w:val="none"/>
          <w:lang w:val="en-US" w:eastAsia="zh-CN"/>
        </w:rPr>
        <w:t>）</w:t>
      </w:r>
    </w:p>
    <w:p w14:paraId="21180F53">
      <w:pPr>
        <w:rPr>
          <w:rFonts w:hint="eastAsia" w:ascii="Times New Roman" w:eastAsia="仿宋"/>
          <w:highlight w:val="none"/>
          <w:lang w:val="en-US" w:eastAsia="zh-CN"/>
        </w:rPr>
      </w:pPr>
    </w:p>
    <w:p w14:paraId="55F928EC">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西陇科学增资天津西陇科学有限公司</w:t>
      </w:r>
    </w:p>
    <w:p w14:paraId="2DF56610">
      <w:pPr>
        <w:ind w:firstLine="640" w:firstLineChars="200"/>
        <w:jc w:val="left"/>
        <w:rPr>
          <w:rFonts w:hint="eastAsia"/>
          <w:highlight w:val="none"/>
          <w:lang w:val="en-US" w:eastAsia="zh-CN"/>
        </w:rPr>
      </w:pPr>
      <w:r>
        <w:rPr>
          <w:rFonts w:hint="eastAsia"/>
          <w:highlight w:val="none"/>
          <w:lang w:val="en-US" w:eastAsia="zh-CN"/>
        </w:rPr>
        <w:t>9</w:t>
      </w:r>
      <w:r>
        <w:rPr>
          <w:rFonts w:hint="eastAsia" w:ascii="Times New Roman" w:eastAsia="仿宋"/>
          <w:highlight w:val="none"/>
          <w:lang w:val="en-US" w:eastAsia="zh-CN"/>
        </w:rPr>
        <w:t>月</w:t>
      </w:r>
      <w:r>
        <w:rPr>
          <w:rFonts w:hint="eastAsia"/>
          <w:highlight w:val="none"/>
          <w:lang w:val="en-US" w:eastAsia="zh-CN"/>
        </w:rPr>
        <w:t>28</w:t>
      </w:r>
      <w:r>
        <w:rPr>
          <w:rFonts w:hint="eastAsia" w:ascii="Times New Roman" w:eastAsia="仿宋"/>
          <w:highlight w:val="none"/>
          <w:lang w:val="en-US" w:eastAsia="zh-CN"/>
        </w:rPr>
        <w:t>日</w:t>
      </w:r>
      <w:r>
        <w:rPr>
          <w:rFonts w:hint="eastAsia"/>
          <w:highlight w:val="none"/>
          <w:lang w:val="en-US" w:eastAsia="zh-CN"/>
        </w:rPr>
        <w:t>，</w:t>
      </w:r>
      <w:r>
        <w:rPr>
          <w:rFonts w:hint="eastAsia" w:ascii="Times New Roman" w:eastAsia="仿宋"/>
          <w:highlight w:val="none"/>
          <w:lang w:val="en-US" w:eastAsia="zh-CN"/>
        </w:rPr>
        <w:t>证券之星消息，根据天眼查APP显示，西陇科学新增一起对外投资事件，被投资公司为天津西陇科学有限公司，法定代表人张曼，投资占比为-。该公司从事研究和试验发展，注册资本为200万人民币。通过天眼查大数据分析，西陇科学股份有限公司共对外投资了26家企业，参与招投标项目1718次；财产线索方面有商标信息298条，专利信息90条，著作权信息11条；此外企业还拥有行政许可60个。据2024年报数据，西陇科学长期股权投资2.42亿元，同比增38.77%。（</w:t>
      </w:r>
      <w:r>
        <w:rPr>
          <w:rFonts w:hint="eastAsia"/>
          <w:highlight w:val="none"/>
          <w:lang w:val="en-US" w:eastAsia="zh-CN"/>
        </w:rPr>
        <w:t>证券之星</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E509DF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超声电子获得发明专利授权：“一种提高耐弯性的低阻柔性屏及其制造方法”</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9月27日，证券之星消息，根据天眼查APP数据显示超声电子新获得一项发明专利授权，专利名为“一种提高耐弯性的低阻柔性屏及其制造方法”，专利申请号为CN202211524604.7，授权日为2025年9月26日。专利摘要：本发明涉及一种提高耐弯性的低阻柔性屏及其制造方法，低阻柔性屏包括基膜和设置在基膜上的功能电路；基膜采用厚度不大于50μm的聚酰亚胺膜；功能电路包括低阻线路和多个透明电极，低阻线路的主体为厚度不小于5μm的电镀铜层，透明电极由透明导电膜经图形化而成，各个透明电极的外接端覆盖在相应低阻线路的端部上并构成透明导电膜与低阻线路的接合处；所述低阻柔性屏还包括抗弯层，抗弯层为弹性模量小于电镀铜层的透明涂层，抗弯层至少覆盖在各个接合处上。（证券之星）</w:t>
      </w:r>
    </w:p>
    <w:p w14:paraId="7F6246FC">
      <w:pPr>
        <w:rPr>
          <w:rFonts w:hint="eastAsia" w:ascii="Times New Roman" w:eastAsia="仿宋"/>
          <w:highlight w:val="none"/>
          <w:lang w:val="en-US" w:eastAsia="zh-CN"/>
        </w:rPr>
      </w:pP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景旺电子：珠海金湾50亿投资将用于高多层工厂技改及HDI工厂建设，计划2025年下半年至2027年陆续投产</w:t>
      </w:r>
    </w:p>
    <w:p w14:paraId="7C7C5314">
      <w:pPr>
        <w:ind w:firstLine="640" w:firstLineChars="200"/>
        <w:jc w:val="left"/>
        <w:rPr>
          <w:rFonts w:hint="eastAsia"/>
          <w:highlight w:val="none"/>
          <w:lang w:val="en-US" w:eastAsia="zh-CN"/>
        </w:rPr>
      </w:pPr>
      <w:r>
        <w:rPr>
          <w:rFonts w:hint="eastAsia"/>
          <w:highlight w:val="none"/>
          <w:lang w:val="en-US" w:eastAsia="zh-CN"/>
        </w:rPr>
        <w:t xml:space="preserve"> 9月26日，据景旺电子，本次在珠海金湾追加50亿投资将用于3个方面：第一，在高多层工厂针对性的技术改造补齐瓶颈工序产能、在HDI工厂新增AI服务器高阶HDI产线，计划于2025年下半年实施完成并投入使用；第二，投资新建高阶HDI工厂，计划于2025年下半年动工建设、2026年中投产；第三，利用储备用地增加投资强化关键工序产能，计划于2027年初建设、2027年内投产。（时代财经）</w:t>
      </w:r>
    </w:p>
    <w:p w14:paraId="069ED929">
      <w:pPr>
        <w:jc w:val="left"/>
        <w:rPr>
          <w:rFonts w:hint="eastAsia"/>
          <w:highlight w:val="none"/>
          <w:lang w:val="en-US" w:eastAsia="zh-CN"/>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胜宏科技：泰国工厂一期升级改造已完成并投产，二期升级改造已基本收尾</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9月26日</w:t>
      </w:r>
      <w:r>
        <w:rPr>
          <w:rFonts w:hint="eastAsia"/>
          <w:highlight w:val="none"/>
          <w:lang w:val="en-US" w:eastAsia="zh-CN"/>
        </w:rPr>
        <w:t>，据</w:t>
      </w:r>
      <w:r>
        <w:rPr>
          <w:rFonts w:hint="eastAsia" w:ascii="Times New Roman" w:eastAsia="仿宋"/>
          <w:highlight w:val="none"/>
          <w:lang w:val="en-US" w:eastAsia="zh-CN"/>
        </w:rPr>
        <w:t>胜宏科技，公司泰国工厂一期升级改造已于今年3月完成，已开始投产，二期升级改造也已基本收尾。近期北美科技大客户已经在陆续审厂，此外也有部分客户开始针对泰国工厂进行产品导入，部分订单已经开始排期。厂房投产初期的产线磨合和产能产量逐步释放是行业的必经过程，公司对后续的生产经营及效益实现充满信心。（香港万得通讯社）</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773E7A"/>
    <w:rsid w:val="08C477D5"/>
    <w:rsid w:val="09762B92"/>
    <w:rsid w:val="09834103"/>
    <w:rsid w:val="0A21302B"/>
    <w:rsid w:val="0A46280F"/>
    <w:rsid w:val="0A977BD6"/>
    <w:rsid w:val="0AFA5870"/>
    <w:rsid w:val="0B19257F"/>
    <w:rsid w:val="0B22064F"/>
    <w:rsid w:val="0B3F58BD"/>
    <w:rsid w:val="0B494101"/>
    <w:rsid w:val="0B6426D4"/>
    <w:rsid w:val="0B78105E"/>
    <w:rsid w:val="0B9176F8"/>
    <w:rsid w:val="0C9B6BDE"/>
    <w:rsid w:val="0C9C373F"/>
    <w:rsid w:val="0CCF6098"/>
    <w:rsid w:val="0D126C01"/>
    <w:rsid w:val="0D9373FE"/>
    <w:rsid w:val="0DAC478F"/>
    <w:rsid w:val="0DB15454"/>
    <w:rsid w:val="0DE43C80"/>
    <w:rsid w:val="0E2B494A"/>
    <w:rsid w:val="0E47788B"/>
    <w:rsid w:val="0E777996"/>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4E67A56"/>
    <w:rsid w:val="15251B3B"/>
    <w:rsid w:val="1526048F"/>
    <w:rsid w:val="15B46645"/>
    <w:rsid w:val="15B56E2A"/>
    <w:rsid w:val="15DB7145"/>
    <w:rsid w:val="15E46F00"/>
    <w:rsid w:val="16960A92"/>
    <w:rsid w:val="16BC1C2B"/>
    <w:rsid w:val="16CF0148"/>
    <w:rsid w:val="17062EEA"/>
    <w:rsid w:val="17555A33"/>
    <w:rsid w:val="17876D25"/>
    <w:rsid w:val="182267CA"/>
    <w:rsid w:val="18A46E1B"/>
    <w:rsid w:val="199B6470"/>
    <w:rsid w:val="1A622AE9"/>
    <w:rsid w:val="1A8C739D"/>
    <w:rsid w:val="1AB13D5A"/>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E43154"/>
    <w:rsid w:val="2489657E"/>
    <w:rsid w:val="24B27142"/>
    <w:rsid w:val="24E7219B"/>
    <w:rsid w:val="251A5E6D"/>
    <w:rsid w:val="25512847"/>
    <w:rsid w:val="25761848"/>
    <w:rsid w:val="261B7921"/>
    <w:rsid w:val="264755DA"/>
    <w:rsid w:val="26F9200B"/>
    <w:rsid w:val="270A498F"/>
    <w:rsid w:val="278F5BF6"/>
    <w:rsid w:val="27A243EC"/>
    <w:rsid w:val="27B4797D"/>
    <w:rsid w:val="28497F4E"/>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DE644D2"/>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A05842"/>
    <w:rsid w:val="33B80305"/>
    <w:rsid w:val="33E62FE3"/>
    <w:rsid w:val="340919EE"/>
    <w:rsid w:val="3442486C"/>
    <w:rsid w:val="345D0180"/>
    <w:rsid w:val="34AE33AA"/>
    <w:rsid w:val="34D423BC"/>
    <w:rsid w:val="350E5A19"/>
    <w:rsid w:val="35130D79"/>
    <w:rsid w:val="35284C04"/>
    <w:rsid w:val="35523A2F"/>
    <w:rsid w:val="35734034"/>
    <w:rsid w:val="35EF1F5F"/>
    <w:rsid w:val="363F160E"/>
    <w:rsid w:val="364C0923"/>
    <w:rsid w:val="36FA437E"/>
    <w:rsid w:val="373B350A"/>
    <w:rsid w:val="3783091D"/>
    <w:rsid w:val="3785578A"/>
    <w:rsid w:val="37A7315E"/>
    <w:rsid w:val="38072E43"/>
    <w:rsid w:val="3885411B"/>
    <w:rsid w:val="38F44DFD"/>
    <w:rsid w:val="39273424"/>
    <w:rsid w:val="39630EB6"/>
    <w:rsid w:val="39817F30"/>
    <w:rsid w:val="3A6377F7"/>
    <w:rsid w:val="3A733271"/>
    <w:rsid w:val="3AC73557"/>
    <w:rsid w:val="3AE8373F"/>
    <w:rsid w:val="3AF712CC"/>
    <w:rsid w:val="3B170BE2"/>
    <w:rsid w:val="3B246918"/>
    <w:rsid w:val="3B66696F"/>
    <w:rsid w:val="3B835876"/>
    <w:rsid w:val="3BCD47A7"/>
    <w:rsid w:val="3BFA4E20"/>
    <w:rsid w:val="3C402568"/>
    <w:rsid w:val="3C503CCB"/>
    <w:rsid w:val="3DF17D30"/>
    <w:rsid w:val="3DF340B9"/>
    <w:rsid w:val="3E526AD0"/>
    <w:rsid w:val="3E5C7080"/>
    <w:rsid w:val="3FBC4A1D"/>
    <w:rsid w:val="40212FAA"/>
    <w:rsid w:val="41482E61"/>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58E1B25"/>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235647"/>
    <w:rsid w:val="4D761E2D"/>
    <w:rsid w:val="4DBA440F"/>
    <w:rsid w:val="4DD93651"/>
    <w:rsid w:val="4E1C41B2"/>
    <w:rsid w:val="4E9563FB"/>
    <w:rsid w:val="4F472002"/>
    <w:rsid w:val="4F92297F"/>
    <w:rsid w:val="4FE9329C"/>
    <w:rsid w:val="4FFE3E1D"/>
    <w:rsid w:val="50255A1F"/>
    <w:rsid w:val="50393156"/>
    <w:rsid w:val="5061150F"/>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5D372E8"/>
    <w:rsid w:val="562F41C2"/>
    <w:rsid w:val="56B15C42"/>
    <w:rsid w:val="56CC4D76"/>
    <w:rsid w:val="570606C5"/>
    <w:rsid w:val="57AD12BC"/>
    <w:rsid w:val="57EF3BD4"/>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3F17B2B"/>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9F6182"/>
    <w:rsid w:val="6C5A23DB"/>
    <w:rsid w:val="6C8F0A29"/>
    <w:rsid w:val="6C9824B9"/>
    <w:rsid w:val="6CCE6BBD"/>
    <w:rsid w:val="6CD17894"/>
    <w:rsid w:val="6D0914F3"/>
    <w:rsid w:val="6D565020"/>
    <w:rsid w:val="6D635AD2"/>
    <w:rsid w:val="6D8F625A"/>
    <w:rsid w:val="6DAA33EF"/>
    <w:rsid w:val="6DD134BB"/>
    <w:rsid w:val="6E20323A"/>
    <w:rsid w:val="6E31210E"/>
    <w:rsid w:val="6E71421E"/>
    <w:rsid w:val="6F401113"/>
    <w:rsid w:val="6F47651F"/>
    <w:rsid w:val="6F780080"/>
    <w:rsid w:val="703674CE"/>
    <w:rsid w:val="709A3F00"/>
    <w:rsid w:val="70B623BC"/>
    <w:rsid w:val="712F0AD2"/>
    <w:rsid w:val="71A96764"/>
    <w:rsid w:val="71B8286E"/>
    <w:rsid w:val="72B2653C"/>
    <w:rsid w:val="732764FB"/>
    <w:rsid w:val="73946B2F"/>
    <w:rsid w:val="74576EE0"/>
    <w:rsid w:val="748070FC"/>
    <w:rsid w:val="74B8340E"/>
    <w:rsid w:val="74BC1E14"/>
    <w:rsid w:val="75FA729D"/>
    <w:rsid w:val="77025C02"/>
    <w:rsid w:val="771E02F9"/>
    <w:rsid w:val="77A576CA"/>
    <w:rsid w:val="785D67BD"/>
    <w:rsid w:val="78903D77"/>
    <w:rsid w:val="789F5C2E"/>
    <w:rsid w:val="78BE62B2"/>
    <w:rsid w:val="793D02F4"/>
    <w:rsid w:val="79576B39"/>
    <w:rsid w:val="79E24222"/>
    <w:rsid w:val="79E355ED"/>
    <w:rsid w:val="7A022808"/>
    <w:rsid w:val="7A3309A2"/>
    <w:rsid w:val="7AD65B35"/>
    <w:rsid w:val="7B8A47A6"/>
    <w:rsid w:val="7B9F061D"/>
    <w:rsid w:val="7BC95581"/>
    <w:rsid w:val="7BF15DB3"/>
    <w:rsid w:val="7C0D4A92"/>
    <w:rsid w:val="7C71090E"/>
    <w:rsid w:val="7C981F04"/>
    <w:rsid w:val="7CD4288D"/>
    <w:rsid w:val="7D083FA0"/>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2562</Words>
  <Characters>2904</Characters>
  <Lines>1</Lines>
  <Paragraphs>1</Paragraphs>
  <TotalTime>2100</TotalTime>
  <ScaleCrop>false</ScaleCrop>
  <LinksUpToDate>false</LinksUpToDate>
  <CharactersWithSpaces>2953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2025-09-29T02:31:36Z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E13C309C37FB44EE8D61E959530C9729_13</vt:lpwstr>
  </property>
  <property fmtid="{D5CDD505-2E9C-101B-9397-08002B2CF9AE}" pid="4" name="KSOTemplateDocerSaveRecord">
    <vt:lpwstr>eyJoZGlkIjoiZWFlNjQ3NDIwZDEwN2RkZjI5ZmVhOGI2NjVlYTBkMTciLCJ1c2VySWQiOiIxMzgyMTM1ODU2In0=</vt:lpwstr>
  </property>
</Properties>
</file>