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第108期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2025年8月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每周资讯|8月份全国新能源市场零售渗透率55.3%；芯碁微装在港交所提交上市申请；OpenAI拟在印度建设大型新数据中心</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AC00A43">
      <w:pPr>
        <w:jc w:val="center"/>
        <w:rPr>
          <w:rFonts w:hint="default" w:ascii="黑体" w:hAnsi="黑体" w:eastAsia="黑体" w:cs="黑体"/>
          <w:b/>
          <w:bCs/>
          <w:lang w:val="en-US" w:eastAsia="zh-CN"/>
        </w:rPr>
      </w:pPr>
      <w:r>
        <w:rPr>
          <w:rFonts w:hint="default" w:ascii="黑体" w:hAnsi="黑体" w:eastAsia="黑体" w:cs="黑体"/>
          <w:b/>
          <w:bCs/>
          <w:lang w:val="en-US" w:eastAsia="zh-CN"/>
        </w:rPr>
        <w:t>美联储沃勒力推本月启动降息</w:t>
      </w:r>
      <w:r>
        <w:rPr>
          <w:rFonts w:hint="eastAsia" w:ascii="黑体" w:hAnsi="黑体" w:eastAsia="黑体" w:cs="黑体"/>
          <w:b/>
          <w:bCs/>
          <w:lang w:val="en-US" w:eastAsia="zh-CN"/>
        </w:rPr>
        <w:t>，</w:t>
      </w:r>
      <w:r>
        <w:rPr>
          <w:rFonts w:hint="default" w:ascii="黑体" w:hAnsi="黑体" w:eastAsia="黑体" w:cs="黑体"/>
          <w:b/>
          <w:bCs/>
          <w:lang w:val="en-US" w:eastAsia="zh-CN"/>
        </w:rPr>
        <w:t>未来还将有多次跟进</w:t>
      </w:r>
    </w:p>
    <w:p w14:paraId="43649F52">
      <w:pPr>
        <w:ind w:firstLine="640" w:firstLineChars="200"/>
        <w:rPr>
          <w:rFonts w:hint="eastAsia" w:ascii="Times New Roman" w:eastAsia="仿宋"/>
          <w:lang w:val="en-US" w:eastAsia="zh-CN"/>
        </w:rPr>
      </w:pPr>
      <w:r>
        <w:rPr>
          <w:rFonts w:hint="eastAsia"/>
          <w:highlight w:val="none"/>
          <w:lang w:val="en-US" w:eastAsia="zh-CN"/>
        </w:rPr>
        <w:t>9</w:t>
      </w:r>
      <w:r>
        <w:rPr>
          <w:rFonts w:hint="eastAsia" w:ascii="Times New Roman" w:eastAsia="仿宋"/>
          <w:highlight w:val="none"/>
          <w:lang w:val="en-US" w:eastAsia="zh-CN"/>
        </w:rPr>
        <w:t>月</w:t>
      </w:r>
      <w:r>
        <w:rPr>
          <w:rFonts w:hint="eastAsia"/>
          <w:highlight w:val="none"/>
          <w:lang w:val="en-US" w:eastAsia="zh-CN"/>
        </w:rPr>
        <w:t>4</w:t>
      </w:r>
      <w:r>
        <w:rPr>
          <w:rFonts w:hint="eastAsia" w:ascii="Times New Roman" w:eastAsia="仿宋"/>
          <w:highlight w:val="none"/>
          <w:lang w:val="en-US" w:eastAsia="zh-CN"/>
        </w:rPr>
        <w:t>日，美联储理事克里斯托弗·沃勒（Christopher Waller）最新表示，该行应当在本月开始降低利率，并且要在接下来的几个月进行多次降息。沃勒在接受采访时说道：“我们需要在下次会议上启动降息，在此之后，我们也不必遵循固定的步骤来实施降息。”</w:t>
      </w:r>
      <w:r>
        <w:rPr>
          <w:rFonts w:hint="eastAsia" w:ascii="Times New Roman" w:eastAsia="仿宋"/>
          <w:lang w:val="en-US" w:eastAsia="zh-CN"/>
        </w:rPr>
        <w:t>(新华社)</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上海合作组织成员国元首理事会发布关于加强数字经济发展的声明</w:t>
      </w:r>
    </w:p>
    <w:p w14:paraId="03B6C0F9">
      <w:pPr>
        <w:ind w:firstLine="640" w:firstLineChars="200"/>
        <w:jc w:val="left"/>
        <w:rPr>
          <w:rFonts w:hint="eastAsia"/>
          <w:lang w:val="en-US" w:eastAsia="zh-CN"/>
        </w:rPr>
      </w:pPr>
      <w:r>
        <w:rPr>
          <w:rFonts w:hint="eastAsia"/>
          <w:lang w:val="en-US" w:eastAsia="zh-CN"/>
        </w:rPr>
        <w:t> 9月2日，上海合作组织成员国元首理事会发布关于加强数字经济发展的声明。上海合作组织成员国领导人，依据《上合组织宪章》《上合组织至2025年发展战略》《上合组织至2030年经济发展战略》目标和原则，认识到开展数字领域合作对于弥合数字鸿沟、促进经济增长和科技发展具有重要意义。成员国将采取以下行动：在数字经济发展政策方面加强协作，定期开展对话，并探讨建立相关合作机制的可能性。深化新一代通信技术合作，构建普惠、安全、可持续的通信网络体系，推动采用国际标准可靠数据传输技术，增强成员国经贸合作效能。(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商务部就美国撤销三星等三家在华半导体企业“经验证最终用户”授权答记者问</w:t>
      </w:r>
    </w:p>
    <w:p w14:paraId="71E2EF05">
      <w:pPr>
        <w:ind w:firstLine="640" w:firstLineChars="200"/>
        <w:jc w:val="left"/>
        <w:rPr>
          <w:rFonts w:hint="eastAsia" w:ascii="Times New Roman" w:eastAsia="仿宋"/>
          <w:lang w:val="en-US" w:eastAsia="zh-CN"/>
        </w:rPr>
      </w:pPr>
      <w:r>
        <w:rPr>
          <w:rFonts w:hint="eastAsia"/>
          <w:lang w:val="en-US" w:eastAsia="zh-CN"/>
        </w:rPr>
        <w:t>8月31日，商务部新闻发言人表示，中方注意到有关情况。半导体是高度全球化的产业，经过数十年发展，已形成你中有我、我中有你的产业格局，这是市场规律和企业选择共同作用的结果。美方此举系出于一己之私，将出口管制工具化，将对全球半导体产业链供应链稳定产生重要不利影响，中方对此表示反对。</w:t>
      </w:r>
      <w:r>
        <w:rPr>
          <w:rFonts w:hint="default"/>
          <w:lang w:eastAsia="zh-CN"/>
        </w:rPr>
        <w:t>（</w:t>
      </w:r>
      <w:r>
        <w:rPr>
          <w:rFonts w:hint="eastAsia"/>
          <w:lang w:val="en-US" w:eastAsia="zh-CN"/>
        </w:rPr>
        <w:t>环球市场</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8月份全国新能源市场零售渗透率55.3%</w:t>
      </w:r>
    </w:p>
    <w:p w14:paraId="4420A97B">
      <w:pPr>
        <w:ind w:firstLine="640" w:firstLineChars="200"/>
        <w:rPr>
          <w:rFonts w:hint="eastAsia"/>
          <w:lang w:val="en-US" w:eastAsia="zh-CN"/>
        </w:rPr>
      </w:pPr>
      <w:r>
        <w:rPr>
          <w:rFonts w:hint="eastAsia"/>
          <w:lang w:val="en-US" w:eastAsia="zh-CN"/>
        </w:rPr>
        <w:t>9月3日，乘联分会发布车市扫描。初步统计，8月1-31日，全国乘用车新能源市场零售107.9万辆，同比去年同期增长5%，较上月增长9%，全国新能源市场零售渗透率55.3%，今年以来累计零售753.5万辆，同比增长25%;8月1-31日，全国乘用车厂商新能源批发129.2万辆，同比去年同期增长23%，较上月增长9%，新能源厂商批发渗透率53.6%，今年以来累计批发892.6万辆，同比增长33%。(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工信部：前7个月我国软件业务收入83246亿元，同比增长12.3%</w:t>
      </w:r>
    </w:p>
    <w:p w14:paraId="18D1DFF3">
      <w:pPr>
        <w:ind w:firstLine="640" w:firstLineChars="200"/>
        <w:rPr>
          <w:rFonts w:hint="eastAsia"/>
          <w:highlight w:val="none"/>
          <w:lang w:val="en-US" w:eastAsia="zh-CN"/>
        </w:rPr>
      </w:pPr>
      <w:r>
        <w:rPr>
          <w:rFonts w:hint="eastAsia"/>
          <w:highlight w:val="none"/>
          <w:lang w:val="en-US" w:eastAsia="zh-CN"/>
        </w:rPr>
        <w:t>9月2日，据工信部网站消息，2025年前7个月，我国软件和信息技术服务业(以下简称“软件业”)运行态势良好，软件业务收入、利润总额稳健增长，软件业务出口保持正增长。前7个月，我国软件业务收入83246亿元，同比增长12.3%。软件业利润总额10890亿元，同比增长12.4%。软件业务出口339.8亿美元，同比增长5.2%。（工信部）</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韩国8月出口同比增长1.3%，半导体出口创历史新高</w:t>
      </w:r>
    </w:p>
    <w:p w14:paraId="6E6E61BB">
      <w:pPr>
        <w:jc w:val="left"/>
        <w:rPr>
          <w:rFonts w:hint="eastAsia"/>
          <w:highlight w:val="none"/>
          <w:lang w:val="en-US" w:eastAsia="zh-CN"/>
        </w:rPr>
      </w:pPr>
      <w:r>
        <w:rPr>
          <w:rFonts w:hint="eastAsia"/>
          <w:highlight w:val="none"/>
          <w:lang w:val="en-US" w:eastAsia="zh-CN"/>
        </w:rPr>
        <w:t xml:space="preserve">   9月1日，韩国8月份出口同比增长1.3%，连续第三个月实现同比增长。特别是作为最大出口产品的半导体，创下了历史最高业绩。汽车对美国的出口由于关税而减少，但在欧洲和亚洲表现良好，推动了整体出口。韩国贸易、工业和能源部于9月1日公布了8月进出口数据：8月韩国出口额同比增长1.3%，达584亿美元，连续三个月实现同比正增长；进口额同比下降4.0%，为518.9亿美元；当月贸易顺差为65.1亿美元。（环球时报）</w:t>
      </w:r>
    </w:p>
    <w:p w14:paraId="39DA2E50">
      <w:pPr>
        <w:jc w:val="left"/>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特斯拉计划将其战略重心从电动汽车全面转向人工智能与机器人领域</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9月2日，特斯拉官方在 X 平台上正式发布 " 大师计划第四篇章 "（Master Plan Part IV），全面改写公司的宏大叙事。它将公司的发展重心前所未有地从电动汽车和能源全面转向人工智能和机器人领域，旨在通过大规模地将 AI 融入物理世界，实现一个 " 可持续富足 " 的社会。马斯克称，未来特斯拉约80%的价值将来自机器人Optimus。知情人士透露，自7月中旬在印度开始销售以来，特斯拉仅收到600多辆电动汽车订单。</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苹果再遭人工智能人才流失，机器人研究主管跳槽至Meta</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9月3日，据报道，苹果公司再度面临人工智能人才的流失，该公司机器人人工智能(AI)研究主管已跳槽至Meta Platforms。Meta周二证实，这位名叫Jian Zhang的员工已加入Meta机器人工作室。此外，知情人士透露，另有三位人工智能研究人员将离开苹果内部的大型语言模型团队，这加剧了该团队的动荡。知情人士表示，过去一周发生的最新一轮离职潮还包括John Peebles、Nan Du和Zhao Meng。他们原本都是苹果基础模型团队的成员。该团队在最近几周已经失去了大约10名成员，包括其负责人。该小组是创建苹果人工智能平台的核心。</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55F928E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合肥芯碁微电子装备股份有限公司在港交所提交IPO申请</w:t>
      </w:r>
    </w:p>
    <w:p w14:paraId="2DF56610">
      <w:pPr>
        <w:ind w:firstLine="640" w:firstLineChars="200"/>
        <w:jc w:val="left"/>
        <w:rPr>
          <w:rFonts w:hint="eastAsia"/>
          <w:highlight w:val="none"/>
          <w:lang w:val="en-US" w:eastAsia="zh-CN"/>
        </w:rPr>
      </w:pPr>
      <w:r>
        <w:rPr>
          <w:rFonts w:hint="eastAsia" w:ascii="Times New Roman" w:eastAsia="仿宋"/>
          <w:highlight w:val="none"/>
          <w:lang w:val="en-US" w:eastAsia="zh-CN"/>
        </w:rPr>
        <w:t>9月3日，据DoNews，合肥芯碁微电子装备股份有限公司日前递交招股书，准备在港交所上市。芯碁微装专业从事以微纳直写光刻为技术核心的直接成像设备及直写光刻设备的研发和生产。公司位于安徽省合肥市。招股书显示，芯碁微装2022年、2023年、2024年营收分别为6.52亿元、8.29亿元、9.54亿元；毛利分别为2.69亿元、3.39亿元、3.39亿元；毛利率分别为41.3%、40.9%、35.5%。（DoNews）</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台积电考虑明年将高端工艺制程涨价5%-10%</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8月28日，据Digitimes，台积电正在考虑2026年将其所有高端工艺制程提高5%-10%的价格，以抵消美国关税、汇率波动和供应链价格压力。台积电已将更高的2026年报价传达给了代工厂合作伙伴，其中包括5纳米/4纳米、3纳米和2纳米等制程。这意味着台积电高端工艺的主要客户，如英伟达和苹果，现在需要为芯片支付更高的成本。</w:t>
      </w:r>
      <w:bookmarkStart w:id="0" w:name="_GoBack"/>
      <w:bookmarkEnd w:id="0"/>
      <w:r>
        <w:rPr>
          <w:rFonts w:hint="eastAsia"/>
          <w:highlight w:val="none"/>
          <w:lang w:val="en-US" w:eastAsia="zh-CN"/>
        </w:rPr>
        <w:t>（Digitimes</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OpenAI拟在印度建设大型新数据中心</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9月2日，OpenAI正寻求在印度打造一座大型新数据中心，这可能成为其“星际之门”（Stargate）品牌人工智能基础设施在亚洲推进的重要一步。据知情人士透露，OpenAI目前正在寻找当地合作伙伴，计划在印度建立一座容量至少为1千兆瓦的数据中心。由于相关信息未公开，这些知情人士要求匿名。该数据中心有可能成为印度规模最大的数据中心之一——目前包括微软、Alphabet旗下谷歌，以及亚洲首富在内的科技巨头，都已在印度投资建设此类设施。（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嘉元科技杨剑文：2025年公司固态电池铜箔出货量预计为100吨左右</w:t>
      </w:r>
    </w:p>
    <w:p w14:paraId="7C7C5314">
      <w:pPr>
        <w:ind w:firstLine="640" w:firstLineChars="200"/>
        <w:jc w:val="left"/>
        <w:rPr>
          <w:rFonts w:hint="eastAsia" w:ascii="Arial" w:hAnsi="Arial" w:eastAsia="黑体" w:cstheme="minorBidi"/>
          <w:b/>
          <w:kern w:val="2"/>
          <w:sz w:val="32"/>
          <w:szCs w:val="24"/>
          <w:highlight w:val="none"/>
          <w:lang w:val="en-US" w:eastAsia="zh-CN" w:bidi="ar-SA"/>
        </w:rPr>
      </w:pPr>
      <w:r>
        <w:rPr>
          <w:rFonts w:hint="eastAsia"/>
          <w:highlight w:val="none"/>
          <w:lang w:val="en-US" w:eastAsia="zh-CN"/>
        </w:rPr>
        <w:t>9月3日，在2025年半年度科创板新能源行业集体业绩说明会上，嘉元科技总裁杨剑文表示，公司是目前少数在固态电池领域取得商业化进展的公司，已匹配五家头部电池企业的供应。2025年公司固态电池铜箔出货量预计为100吨左右，约占公司整体出货量的1‰。除批量供货与测试送样客户外，公司还与多家客户达成战略协议，按客户要求开发定制化铜箔产品。（时代财经）</w:t>
      </w: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天承科技全资子公司以7062.59万元竞得土地使用权</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9月3日，</w:t>
      </w:r>
      <w:r>
        <w:rPr>
          <w:rFonts w:hint="eastAsia"/>
          <w:highlight w:val="none"/>
          <w:lang w:val="en-US" w:eastAsia="zh-CN"/>
        </w:rPr>
        <w:t>天承科技</w:t>
      </w:r>
      <w:r>
        <w:rPr>
          <w:rFonts w:hint="eastAsia" w:ascii="Times New Roman" w:eastAsia="仿宋"/>
          <w:highlight w:val="none"/>
          <w:lang w:val="en-US" w:eastAsia="zh-CN"/>
        </w:rPr>
        <w:t>公告，公司全资子公司上海天承化学有限公司成功竞得上海市金山区金山卫镇春华路299号土地使用权及地上建筑物，成交金额为7,062.59万元。此次交易将用于实施募投项目“金山工厂升级改造项目</w:t>
      </w:r>
      <w:r>
        <w:rPr>
          <w:rFonts w:hint="eastAsia"/>
          <w:highlight w:val="none"/>
          <w:lang w:val="en-US" w:eastAsia="zh-CN"/>
        </w:rPr>
        <w:t>。</w:t>
      </w:r>
      <w:r>
        <w:rPr>
          <w:rFonts w:hint="eastAsia" w:ascii="Times New Roman" w:eastAsia="仿宋"/>
          <w:highlight w:val="none"/>
          <w:lang w:val="en-US" w:eastAsia="zh-CN"/>
        </w:rPr>
        <w:t>（香港万得通讯社）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B56E2A"/>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5D0180"/>
    <w:rsid w:val="34AE33AA"/>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472002"/>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6CC4D76"/>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E6BBD"/>
    <w:rsid w:val="6CD17894"/>
    <w:rsid w:val="6D0914F3"/>
    <w:rsid w:val="6D565020"/>
    <w:rsid w:val="6D635AD2"/>
    <w:rsid w:val="6D8F625A"/>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2908</Words>
  <Characters>3204</Characters>
  <Lines>1</Lines>
  <Paragraphs>1</Paragraphs>
  <TotalTime>97</TotalTime>
  <ScaleCrop>false</ScaleCrop>
  <LinksUpToDate>false</LinksUpToDate>
  <CharactersWithSpaces>3256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2025-09-04T02:51:21Z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55309333BC6C446DBC610EC3DF4B342F_13</vt:lpwstr>
  </property>
  <property fmtid="{D5CDD505-2E9C-101B-9397-08002B2CF9AE}" pid="4" name="KSOTemplateDocerSaveRecord">
    <vt:lpwstr>eyJoZGlkIjoiZWFlNjQ3NDIwZDEwN2RkZjI5ZmVhOGI2NjVlYTBkMTciLCJ1c2VySWQiOiIxMzgyMTM1ODU2In0=</vt:lpwstr>
  </property>
</Properties>
</file>