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第107期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2025年8月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每周资讯|7月份规上工业企业利润同比下降1.5%；广合科拟投约26亿元建设云擎智造基地；四会富仕拟增资泰国子公司5.5亿元</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AC00A43">
      <w:pPr>
        <w:jc w:val="center"/>
        <w:rPr>
          <w:rFonts w:hint="default" w:ascii="黑体" w:hAnsi="黑体" w:eastAsia="黑体" w:cs="黑体"/>
          <w:b/>
          <w:bCs/>
          <w:lang w:val="en-US" w:eastAsia="zh-CN"/>
        </w:rPr>
      </w:pPr>
      <w:r>
        <w:rPr>
          <w:rFonts w:hint="default" w:ascii="黑体" w:hAnsi="黑体" w:eastAsia="黑体" w:cs="黑体"/>
          <w:b/>
          <w:bCs/>
          <w:lang w:val="en-US" w:eastAsia="zh-CN"/>
        </w:rPr>
        <w:t>国务院关于深入实施“人工智能+”行动的意见</w:t>
      </w:r>
    </w:p>
    <w:p w14:paraId="43649F52">
      <w:pPr>
        <w:ind w:firstLine="640" w:firstLineChars="200"/>
        <w:rPr>
          <w:rFonts w:hint="eastAsia" w:ascii="Times New Roman" w:eastAsia="仿宋"/>
          <w:lang w:val="en-US" w:eastAsia="zh-CN"/>
        </w:rPr>
      </w:pPr>
      <w:r>
        <w:rPr>
          <w:rFonts w:hint="eastAsia" w:ascii="Times New Roman" w:eastAsia="仿宋"/>
          <w:highlight w:val="none"/>
          <w:lang w:val="en-US" w:eastAsia="zh-CN"/>
        </w:rPr>
        <w:t>8月</w:t>
      </w:r>
      <w:r>
        <w:rPr>
          <w:rFonts w:hint="eastAsia"/>
          <w:highlight w:val="none"/>
          <w:lang w:val="en-US" w:eastAsia="zh-CN"/>
        </w:rPr>
        <w:t>21</w:t>
      </w:r>
      <w:r>
        <w:rPr>
          <w:rFonts w:hint="eastAsia" w:ascii="Times New Roman" w:eastAsia="仿宋"/>
          <w:highlight w:val="none"/>
          <w:lang w:val="en-US" w:eastAsia="zh-CN"/>
        </w:rPr>
        <w:t>日，国务院发布深入实施“人工智能+”行动意见。意见明确，到2027年，率先实现人工智能与6大重点领域广泛深度融合，新一代智能终端、智能体等应用普及率超70%，智能经济核心产业规模快速增长；到2030年，我国人工智能全面赋能高质量发展，新一代智能终端、智能体等应用普及率超90%，智能经济成为我国经济发展的重要增长极。</w:t>
      </w:r>
      <w:r>
        <w:rPr>
          <w:rFonts w:hint="eastAsia" w:ascii="Times New Roman" w:eastAsia="仿宋"/>
          <w:lang w:val="en-US" w:eastAsia="zh-CN"/>
        </w:rPr>
        <w:t>(新华社)</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商务部：去年我国对外投资达1627.8亿美元，比上年增长10.1%</w:t>
      </w:r>
    </w:p>
    <w:p w14:paraId="03B6C0F9">
      <w:pPr>
        <w:ind w:firstLine="640" w:firstLineChars="200"/>
        <w:jc w:val="left"/>
        <w:rPr>
          <w:rFonts w:hint="eastAsia"/>
          <w:lang w:val="en-US" w:eastAsia="zh-CN"/>
        </w:rPr>
      </w:pPr>
      <w:r>
        <w:rPr>
          <w:rFonts w:hint="eastAsia"/>
          <w:lang w:val="en-US" w:eastAsia="zh-CN"/>
        </w:rPr>
        <w:t> 8月26日，商务部在国新办新闻发布会上表示，2012年以来，中国的对外投资流量连续13年位居全球前三。截至2024年底，中国在境外设立企业超过5万家，遍布190个国家和地区。对外投资存量超过3万亿美元，连续8年保持全球前三，占全球对外投资比重增至7.2%。(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商务部：将于9月出台扩大服务消费的若干政策措施</w:t>
      </w:r>
    </w:p>
    <w:p w14:paraId="18DA012E">
      <w:pPr>
        <w:ind w:firstLine="640" w:firstLineChars="200"/>
        <w:jc w:val="left"/>
        <w:rPr>
          <w:rFonts w:hint="eastAsia"/>
          <w:lang w:val="en-US" w:eastAsia="zh-CN"/>
        </w:rPr>
      </w:pPr>
      <w:r>
        <w:rPr>
          <w:rFonts w:hint="eastAsia"/>
          <w:lang w:val="en-US" w:eastAsia="zh-CN"/>
        </w:rPr>
        <w:t>8月27日，商务部在国新办新闻发布会上透露，下个月，将出台扩大服务消费的若干政策措施，统筹利用财政、金融等手段，优化提升服务供给能力，激发服务消费新增量。另外，商务部与有关部门共同研究制定了《关于促进服务出口的若干政策措施》，相关文件将于近期公开印发。</w:t>
      </w:r>
      <w:r>
        <w:rPr>
          <w:rFonts w:hint="default"/>
          <w:lang w:eastAsia="zh-CN"/>
        </w:rPr>
        <w:t>（</w:t>
      </w:r>
      <w:r>
        <w:rPr>
          <w:rFonts w:hint="eastAsia"/>
          <w:lang w:val="en-US" w:eastAsia="zh-CN"/>
        </w:rPr>
        <w:t>环球市场</w:t>
      </w:r>
      <w:r>
        <w:rPr>
          <w:rFonts w:hint="default"/>
          <w:lang w:eastAsia="zh-CN"/>
        </w:rPr>
        <w:t>）</w:t>
      </w:r>
    </w:p>
    <w:p w14:paraId="1BFE0F44">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中国贸促会：6月全球经贸摩擦呈缓和态势</w:t>
      </w:r>
    </w:p>
    <w:p w14:paraId="390C9577">
      <w:pPr>
        <w:ind w:firstLine="640" w:firstLineChars="200"/>
        <w:jc w:val="left"/>
        <w:rPr>
          <w:rFonts w:hint="eastAsia"/>
          <w:lang w:val="en-US" w:eastAsia="zh-CN"/>
        </w:rPr>
      </w:pPr>
      <w:r>
        <w:rPr>
          <w:rFonts w:hint="eastAsia" w:ascii="Times New Roman" w:eastAsia="仿宋"/>
          <w:lang w:val="en-US" w:eastAsia="zh-CN"/>
        </w:rPr>
        <w:t>8月27日，中国贸促会公布的最新数据显示，6月全球经贸摩擦指数为92，处于中高位。全球经贸摩擦措施涉及金额同比下降14.7%，环比下降13.7%。贸促会新闻发言人王冠男在当日举行的例行新闻发布会上称，受美国延长暂停征收“对等关税”期限等因素影响，全球经贸摩擦继续呈现缓和态势。分国别看，在监测范围内的20个国家(地区)中，印度、美国和巴西的全球经贸摩擦指数位居前三，美国的全球经贸摩擦措施涉及金额最多，连续12个月居首。</w:t>
      </w:r>
      <w:r>
        <w:rPr>
          <w:rFonts w:hint="default"/>
          <w:lang w:eastAsia="zh-CN"/>
        </w:rPr>
        <w:t>（</w:t>
      </w:r>
      <w:r>
        <w:rPr>
          <w:rFonts w:hint="eastAsia" w:ascii="Times New Roman" w:eastAsia="仿宋"/>
          <w:lang w:val="en-US" w:eastAsia="zh-CN"/>
        </w:rPr>
        <w:t>环球市场</w:t>
      </w:r>
      <w:r>
        <w:rPr>
          <w:rFonts w:hint="default"/>
          <w:lang w:eastAsia="zh-CN"/>
        </w:rPr>
        <w:t>）</w:t>
      </w:r>
    </w:p>
    <w:p w14:paraId="71E2EF05">
      <w:pPr>
        <w:rPr>
          <w:rFonts w:hint="eastAsia"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7月份，规模以上工业企业利润同比下降1.5%</w:t>
      </w:r>
    </w:p>
    <w:p w14:paraId="4420A97B">
      <w:pPr>
        <w:ind w:firstLine="640" w:firstLineChars="200"/>
        <w:rPr>
          <w:rFonts w:hint="eastAsia"/>
          <w:lang w:val="en-US" w:eastAsia="zh-CN"/>
        </w:rPr>
      </w:pPr>
      <w:r>
        <w:rPr>
          <w:rFonts w:hint="eastAsia"/>
          <w:lang w:val="en-US" w:eastAsia="zh-CN"/>
        </w:rPr>
        <w:t>8月27日，国家统计局数据显示，7月份，规模以上工业企业利润同比下降1.5%，降幅较6月份收窄2.8个百分点，连续两个月收窄。其中，高技术制造业利润由6月份下降0.9%转为增长18.9%，拉动全部规模以上工业企业利润增速较6月份加快2.9个百分点，引领作用明显。(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工信部：到2030年手机直连卫星等新模式新业态规模应用，发展卫星通信用户超千万</w:t>
      </w:r>
    </w:p>
    <w:p w14:paraId="18D1DFF3">
      <w:pPr>
        <w:ind w:firstLine="640" w:firstLineChars="200"/>
        <w:rPr>
          <w:rFonts w:hint="eastAsia"/>
          <w:highlight w:val="none"/>
          <w:lang w:val="en-US" w:eastAsia="zh-CN"/>
        </w:rPr>
      </w:pPr>
      <w:r>
        <w:rPr>
          <w:rFonts w:hint="eastAsia"/>
          <w:highlight w:val="none"/>
          <w:lang w:val="en-US" w:eastAsia="zh-CN"/>
        </w:rPr>
        <w:t>8月27日，工信部印发《关于优化业务准入促进卫星通信产业发展的指导意见》（以下简称《指导意见》）。其中提出，支持低轨卫星互联网加快发展，针对低轨卫星通信应用适时开展商用试验，带动产业链上下游协同创新，实现全球范围内宽带网络覆盖。支持电信运营商通过与卫星企业共建、共享等模式，深入挖掘天通、北斗等高轨卫星应用潜力，推动手机等终端设备直连卫星加快推广应用，为广大地面移动通信用户提供基于卫星的话音、短消息业务。《指导意见》还提出，研究设立新型卫星通信业务，进一步扩大向民营企业开放。（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乘联分会：8月1-24日全国乘用车新能源市场零售72.7万辆，同比增长6%</w:t>
      </w:r>
    </w:p>
    <w:p w14:paraId="6E6E61BB">
      <w:pPr>
        <w:jc w:val="left"/>
        <w:rPr>
          <w:rFonts w:hint="eastAsia"/>
          <w:highlight w:val="none"/>
          <w:lang w:val="en-US" w:eastAsia="zh-CN"/>
        </w:rPr>
      </w:pPr>
      <w:r>
        <w:rPr>
          <w:rFonts w:hint="eastAsia"/>
          <w:highlight w:val="none"/>
          <w:lang w:val="en-US" w:eastAsia="zh-CN"/>
        </w:rPr>
        <w:t xml:space="preserve">   8月27日，乘联分会消息，8月1-24日，全国乘用车新能源市场零售72.7万辆，同比去年8月同期增长6%，较上月同期增长7%，全国乘用车新能源零售渗透率56.6%，今年以来累计零售718.2万辆，同比增长27%；8月1-24日，全国乘用车厂商新能源批发71.1万辆，同比去年8月同期增长11%，较上月同期增长3%，全国乘用车厂商新能源批发渗透率53%，今年以来累计批发834.5万辆，同比增长33%。（乘联分会）</w:t>
      </w:r>
    </w:p>
    <w:p w14:paraId="39DA2E50">
      <w:pPr>
        <w:jc w:val="left"/>
        <w:rPr>
          <w:rFonts w:hint="eastAsia"/>
          <w:highlight w:val="none"/>
          <w:lang w:val="en-US" w:eastAsia="zh-CN"/>
        </w:rPr>
      </w:pPr>
    </w:p>
    <w:p w14:paraId="28933DD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我国数字出版产业整体规模再创新高</w:t>
      </w:r>
    </w:p>
    <w:p w14:paraId="30410D20">
      <w:pPr>
        <w:jc w:val="left"/>
        <w:rPr>
          <w:rFonts w:hint="eastAsia"/>
          <w:highlight w:val="none"/>
          <w:lang w:val="en-US" w:eastAsia="zh-CN"/>
        </w:rPr>
      </w:pPr>
      <w:r>
        <w:rPr>
          <w:rFonts w:hint="eastAsia" w:ascii="Times New Roman" w:eastAsia="仿宋"/>
          <w:highlight w:val="none"/>
          <w:lang w:val="en-US" w:eastAsia="zh-CN"/>
        </w:rPr>
        <w:t xml:space="preserve">   8月27日，第十五届中国国际数字出版博览会举办之际，《2024-2025年中国数字出版产业年度报告》8月27日在河南郑州发布。报告显示，2024年我国数字出版产业收入持续增长，整体收入规模全年达到17485.36亿元再创新高，比上年增加8.07%。书报刊数字化收入稳中有进，新兴板块发展势头依然强劲，网络游戏、在线教育、网络动漫三个板块的收入规模增幅明显。（</w:t>
      </w:r>
      <w:r>
        <w:rPr>
          <w:rFonts w:hint="eastAsia"/>
          <w:highlight w:val="none"/>
          <w:lang w:val="en-US" w:eastAsia="zh-CN"/>
        </w:rPr>
        <w:t>新华社</w:t>
      </w:r>
      <w:r>
        <w:rPr>
          <w:rFonts w:hint="eastAsia" w:ascii="Times New Roman" w:eastAsia="仿宋"/>
          <w:highlight w:val="none"/>
          <w:lang w:val="en-US" w:eastAsia="zh-CN"/>
        </w:rPr>
        <w:t>）</w:t>
      </w: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鹏鼎控股积极投入AI服务器及光模块市场，预计泰国园区将在四季度部分投产</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8月26日，据鹏鼎控股，PCB头部厂商鹏鼎控股8月26日举办半年度业绩说明会，公司高管指出，公司积极投入AI服务器及光模块市场，以实现AI云-管-端全链条布局；另外，公司主要以进口高端覆铜板材料为主，此类材料的市场价格波动相对较小，因此对公司整体成本的影响也较为有限。同时，公司泰国园区第一期已于2025年5月竣工并开始试产，预计四季度部分投产，产品主要服务于AI服务器、车载与光通讯等领域，目前服务器及光模块等产品已通过部分客户的认证；泰国二期厂房的建设也已启动。</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广合科拟投约26亿元建设云擎智造基地</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8月28日，广合科技公告，公司拟通过招拍挂方式购买位于广州市黄埔区东江大道以东的土地使用权并投资建设云擎智造基地项目。项目投资金额约26亿元人民币(含购买土地使用权款)，公司将以自有资金、银行贷款或其他融资方式出资，用于项目的开发和运营，本次投资建设项目周期为2025年下半年至2027年。</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广信材料拟1.41亿元增资子公司实施募投项目</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8月28日，江苏广信感光新材料股份有限公司发布公告称，于2025年8月27日召开第五届董事会第十六次会议及第五届监事会第十六次会议，审议通过了《关于使用募集资金对全资子公司增资实施募投项目的议案》，同意使用募集资金140,666,101.28元对全资子公司江西广臻感光材料有限公司进行增资，以实施募投项目。（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四会富仕拟向泰国子公司增资5.5亿元，推进生产基地建设</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8月27日，据四会富仕</w:t>
      </w:r>
      <w:bookmarkStart w:id="0" w:name="_GoBack"/>
      <w:bookmarkEnd w:id="0"/>
      <w:r>
        <w:rPr>
          <w:rFonts w:hint="eastAsia"/>
          <w:highlight w:val="none"/>
          <w:lang w:val="en-US" w:eastAsia="zh-CN"/>
        </w:rPr>
        <w:t>公告，为推进泰国子公司一品电路有限公司的建设，满足营运资金需求，公司拟向其进行两次增资，累计金额达5.5亿元人民币（或等值美元）。2023年2月20日，四会富仕召开第二届董事会第十二次会议及第二届监事会第十二次会议，审议通过在泰国投资新建生产基地的议案，计划投资不超5亿元，包括购买土地、购建固定资产等。2023年3月2日，公司完成一品电路的设立登记，并取得相关部门颁发的证书和备案通知书。（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兴森科技：公司FCBGA封装基板项目投资超38亿，样品订单数量超过去年全年</w:t>
      </w:r>
    </w:p>
    <w:p w14:paraId="3B97F66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highlight w:val="none"/>
          <w:lang w:val="en-US" w:eastAsia="zh-CN"/>
        </w:rPr>
      </w:pPr>
      <w:r>
        <w:rPr>
          <w:rFonts w:hint="eastAsia"/>
          <w:highlight w:val="none"/>
          <w:lang w:val="en-US" w:eastAsia="zh-CN"/>
        </w:rPr>
        <w:t>8月27日，兴森科技在投资者关系活动记录表中称，公司FCBGA封装基板项目整体投资规模已超38亿，已在技术能力、产能规模和产品良率层面做好充分的量产准备。2025年上半年样品订单数量已超过2024年全年。目前，北京兴斐正规划进一步扩充面向AI领域的高阶HDI产能，以把握AI爆发带来的行业机会。</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方邦股份：拟结项研发中心建设项目并使用1.2亿元临时补充流动资金</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8月27日</w:t>
      </w:r>
      <w:r>
        <w:rPr>
          <w:rFonts w:hint="eastAsia"/>
          <w:highlight w:val="none"/>
          <w:lang w:val="en-US" w:eastAsia="zh-CN"/>
        </w:rPr>
        <w:t>，</w:t>
      </w:r>
      <w:r>
        <w:rPr>
          <w:rFonts w:hint="eastAsia" w:ascii="Times New Roman" w:eastAsia="仿宋"/>
          <w:highlight w:val="none"/>
          <w:lang w:val="en-US" w:eastAsia="zh-CN"/>
        </w:rPr>
        <w:t>方邦股份公告称，公司拟对首次公开发行股票募投项目之"研发中心建设项目"进行结项，并使用部分结余募集资金临时补充流动资金。公告显示，"研发中心建设项目"原计划使用募集资金20,206.00万元，截至2025年6月30日累计投入10,092.45万元，投入进度为49.95%。该项目已于2022年12月达到可使用状态，主要研发项目如无胶挠性覆铜板、高频信号传输用柔性基板等已实现量产，FCCL产品持续迭代提升；可剥离的极薄电解铜箔项目已通过相关测试认证，持续获得小批量订单。公司表示，该项目募集资金预计剩余12,702.77万元，将继续存放于原募投项目专用账户。（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AE33AA"/>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6CC4D76"/>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2805</Words>
  <Characters>3098</Characters>
  <Lines>1</Lines>
  <Paragraphs>1</Paragraphs>
  <TotalTime>254</TotalTime>
  <ScaleCrop>false</ScaleCrop>
  <LinksUpToDate>false</LinksUpToDate>
  <CharactersWithSpaces>3154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2025-08-28T08:41:03Z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12892D3DEDED44A59E05E1D01032E3EB_13</vt:lpwstr>
  </property>
  <property fmtid="{D5CDD505-2E9C-101B-9397-08002B2CF9AE}" pid="4" name="KSOTemplateDocerSaveRecord">
    <vt:lpwstr>eyJoZGlkIjoiZWFlNjQ3NDIwZDEwN2RkZjI5ZmVhOGI2NjVlYTBkMTciLCJ1c2VySWQiOiIxMzgyMTM1ODU2In0=</vt:lpwstr>
  </property>
</Properties>
</file>