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第106期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2025年8月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每周资讯|7月份全国规模以上工业增加值同比增长5.7%；生益电子投资17.5亿智能算力电路板项目；芯碁微装拟赴港上市</w:t>
      </w:r>
      <w:r>
        <w:rPr>
          <w:rFonts w:hint="eastAsia" w:ascii="Arial" w:hAnsi="Arial" w:eastAsia="黑体" w:cstheme="minorBidi"/>
          <w:b/>
          <w:kern w:val="2"/>
          <w:sz w:val="32"/>
          <w:szCs w:val="24"/>
          <w:highlight w:val="none"/>
          <w:lang w:val="en-US" w:eastAsia="zh-CN" w:bidi="ar-SA"/>
        </w:rPr>
        <w:t>.</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3AC00A43">
      <w:pPr>
        <w:jc w:val="center"/>
        <w:rPr>
          <w:rFonts w:hint="default" w:ascii="黑体" w:hAnsi="黑体" w:eastAsia="黑体" w:cs="黑体"/>
          <w:b/>
          <w:bCs/>
          <w:lang w:val="en-US" w:eastAsia="zh-CN"/>
        </w:rPr>
      </w:pPr>
      <w:r>
        <w:rPr>
          <w:rFonts w:hint="default" w:ascii="黑体" w:hAnsi="黑体" w:eastAsia="黑体" w:cs="黑体"/>
          <w:b/>
          <w:bCs/>
          <w:lang w:val="en-US" w:eastAsia="zh-CN"/>
        </w:rPr>
        <w:t>7月份，全国规模以上工业增加值同比增长5.7%</w:t>
      </w:r>
    </w:p>
    <w:p w14:paraId="43649F52">
      <w:pPr>
        <w:ind w:firstLine="640" w:firstLineChars="200"/>
        <w:rPr>
          <w:rFonts w:hint="eastAsia" w:ascii="Times New Roman" w:eastAsia="仿宋"/>
          <w:lang w:val="en-US" w:eastAsia="zh-CN"/>
        </w:rPr>
      </w:pPr>
      <w:r>
        <w:rPr>
          <w:rFonts w:hint="eastAsia" w:ascii="Times New Roman" w:eastAsia="仿宋"/>
          <w:highlight w:val="none"/>
          <w:lang w:val="en-US" w:eastAsia="zh-CN"/>
        </w:rPr>
        <w:t>8月16日，我国7月经济“成绩单”出炉。7月份，全国规模以上工业增加值同比增长5.7%，社会消费品零售总额同比增长3.7%。1-7月，全国固定资产投资同比增长1.6%，其中房地产开发投资下降12%。国家统计局表示，受多重因素影响，7月份部分经济指标有所波动，投资增长面临的压力是阶段性的。</w:t>
      </w:r>
      <w:r>
        <w:rPr>
          <w:rFonts w:hint="eastAsia" w:ascii="Times New Roman" w:eastAsia="仿宋"/>
          <w:lang w:val="en-US" w:eastAsia="zh-CN"/>
        </w:rPr>
        <w:t>(新华社)</w:t>
      </w:r>
      <w:bookmarkStart w:id="0" w:name="_GoBack"/>
      <w:bookmarkEnd w:id="0"/>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30FBD191">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中国汽车流通协会：上半年超过一半的汽车经销商亏损</w:t>
      </w:r>
    </w:p>
    <w:p w14:paraId="03B6C0F9">
      <w:pPr>
        <w:ind w:firstLine="640" w:firstLineChars="200"/>
        <w:jc w:val="left"/>
        <w:rPr>
          <w:rFonts w:hint="eastAsia"/>
          <w:lang w:val="en-US" w:eastAsia="zh-CN"/>
        </w:rPr>
      </w:pPr>
      <w:r>
        <w:rPr>
          <w:rFonts w:hint="eastAsia"/>
          <w:lang w:val="en-US" w:eastAsia="zh-CN"/>
        </w:rPr>
        <w:t> 8月18日，中国汽车流通协会发布2025年上半年全国汽车经销商生存状况调查报告，报告显示，仅30.3%的经销商完成了销售目标，超过52%的经销商处于亏损状态，特别是新车销售业务严重亏损，经销商资金周转困难，流动性紧张问题蔓延至整个汽车流通行业。(新华社)</w:t>
      </w:r>
    </w:p>
    <w:p w14:paraId="31D4B605">
      <w:pPr>
        <w:jc w:val="left"/>
        <w:rPr>
          <w:rFonts w:hint="eastAsia"/>
          <w:lang w:val="en-US" w:eastAsia="zh-CN"/>
        </w:rPr>
      </w:pPr>
    </w:p>
    <w:p w14:paraId="38EE141C">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美国宣布扩大对钢铁和铝进口征收50%关税的范围</w:t>
      </w:r>
    </w:p>
    <w:p w14:paraId="18DA012E">
      <w:pPr>
        <w:ind w:firstLine="640" w:firstLineChars="200"/>
        <w:jc w:val="left"/>
        <w:rPr>
          <w:rFonts w:hint="eastAsia"/>
          <w:lang w:val="en-US" w:eastAsia="zh-CN"/>
        </w:rPr>
      </w:pPr>
      <w:r>
        <w:rPr>
          <w:rFonts w:hint="eastAsia"/>
          <w:lang w:val="en-US" w:eastAsia="zh-CN"/>
        </w:rPr>
        <w:t>8月15日，美国特朗普政府宣布扩大对钢铁和铝进口征收50%关税的范围，将数百种衍生产品纳入加征关税清单。美国商务部在当天晚间发布的《联邦公报》公告中表示，工业与安全局已将407个产品编码加入《美国协调关税表》，这些产品将因所含钢铁和铝成分而被加征额外关税。公告称，这些产品中非钢铁和铝的部分，将适用特朗普总统对特定国家商品所征收的关税税率。扩大的关税清单将于8月18日正式生效。</w:t>
      </w:r>
      <w:r>
        <w:rPr>
          <w:rFonts w:hint="default"/>
          <w:lang w:eastAsia="zh-CN"/>
        </w:rPr>
        <w:t>（</w:t>
      </w:r>
      <w:r>
        <w:rPr>
          <w:rFonts w:hint="eastAsia"/>
          <w:lang w:val="en-US" w:eastAsia="zh-CN"/>
        </w:rPr>
        <w:t>环球市场</w:t>
      </w:r>
      <w:r>
        <w:rPr>
          <w:rFonts w:hint="default"/>
          <w:lang w:eastAsia="zh-CN"/>
        </w:rPr>
        <w:t>）</w:t>
      </w:r>
    </w:p>
    <w:p w14:paraId="4C102710">
      <w:pPr>
        <w:rPr>
          <w:rFonts w:hint="default" w:ascii="Times New Roman" w:eastAsia="仿宋"/>
          <w:lang w:val="en-US" w:eastAsia="zh-CN"/>
        </w:rPr>
      </w:pPr>
    </w:p>
    <w:p w14:paraId="15CE4CB6">
      <w:pPr>
        <w:ind w:firstLine="640" w:firstLineChars="200"/>
        <w:rPr>
          <w:rFonts w:hint="eastAsia" w:ascii="Times New Roman" w:eastAsia="仿宋"/>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176A97DE">
      <w:pPr>
        <w:pStyle w:val="3"/>
        <w:bidi w:val="0"/>
        <w:jc w:val="center"/>
        <w:rPr>
          <w:rFonts w:hint="default"/>
          <w:lang w:val="en-US" w:eastAsia="zh-CN"/>
        </w:rPr>
      </w:pPr>
      <w:r>
        <w:rPr>
          <w:rFonts w:hint="eastAsia"/>
          <w:lang w:val="en-US" w:eastAsia="zh-CN"/>
        </w:rPr>
        <w:t>我国有超6400家国家级绿色工厂</w:t>
      </w:r>
    </w:p>
    <w:p w14:paraId="4420A97B">
      <w:pPr>
        <w:ind w:firstLine="640" w:firstLineChars="200"/>
        <w:rPr>
          <w:rFonts w:hint="eastAsia"/>
          <w:lang w:val="en-US" w:eastAsia="zh-CN"/>
        </w:rPr>
      </w:pPr>
      <w:r>
        <w:rPr>
          <w:rFonts w:hint="eastAsia"/>
          <w:lang w:val="en-US" w:eastAsia="zh-CN"/>
        </w:rPr>
        <w:t>8月17日，国家发改委表示，我国已构建全球最系统完备的碳减排顶层设计和政策体系，制定各行业各领域实施方案和支撑保障措施，积极稳妥推进碳达峰碳中和，将碳达峰碳中和纳入生态文明建设整体布局和经济社会发展全局。截至目前，已培育66个国家级战略性新兴产业集群、6400多家国家级绿色工厂、490余个绿色工业园区。(证券时报)</w:t>
      </w:r>
    </w:p>
    <w:p w14:paraId="06D75077">
      <w:pPr>
        <w:rPr>
          <w:rFonts w:hint="eastAsia"/>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中国算力总规模居全球第二，国家数据局公布数字中国成绩单</w:t>
      </w:r>
    </w:p>
    <w:p w14:paraId="18D1DFF3">
      <w:pPr>
        <w:ind w:firstLine="640" w:firstLineChars="200"/>
        <w:rPr>
          <w:rFonts w:hint="eastAsia"/>
          <w:highlight w:val="none"/>
          <w:lang w:val="en-US" w:eastAsia="zh-CN"/>
        </w:rPr>
      </w:pPr>
      <w:r>
        <w:rPr>
          <w:rFonts w:hint="eastAsia"/>
          <w:highlight w:val="none"/>
          <w:lang w:val="en-US" w:eastAsia="zh-CN"/>
        </w:rPr>
        <w:t>8月14日，国务院新闻办公室周四举行关于“十四五”时期数字中国建设发展成就的新闻发布会，介绍数字中国建设成效。国家发展改革委党组成员、国家数据局局长刘烈宏表示，截至2025年6月底，中国5G基站总数与2020年相比增长了5倍达到455万个，千兆宽带用户增长了34倍达2.26亿户，算力总规模位于全球第二。产业带动方面，刘烈宏表示，数字基础设施投资形成庞大市场需求，带动集成电路、通信网络设备、计算机、服务器和终端产品等信息通信技术产业链上下游发展，培育了先进的、完整的产业体系。（财联社）</w:t>
      </w:r>
    </w:p>
    <w:p w14:paraId="3A820C22">
      <w:pPr>
        <w:ind w:firstLine="640" w:firstLineChars="200"/>
        <w:rPr>
          <w:rFonts w:hint="eastAsia"/>
          <w:highlight w:val="none"/>
          <w:lang w:val="en-US" w:eastAsia="zh-CN"/>
        </w:rPr>
      </w:pPr>
    </w:p>
    <w:p w14:paraId="4FC5657E">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商务部对原产于印度的进口单模光纤所适用的反倾销措施发起期终复审调查</w:t>
      </w:r>
    </w:p>
    <w:p w14:paraId="6E6E61BB">
      <w:pPr>
        <w:jc w:val="left"/>
        <w:rPr>
          <w:rFonts w:hint="eastAsia"/>
          <w:highlight w:val="none"/>
          <w:lang w:val="en-US" w:eastAsia="zh-CN"/>
        </w:rPr>
      </w:pPr>
      <w:r>
        <w:rPr>
          <w:rFonts w:hint="eastAsia"/>
          <w:highlight w:val="none"/>
          <w:lang w:val="en-US" w:eastAsia="zh-CN"/>
        </w:rPr>
        <w:t xml:space="preserve">   8月13日，据商务部网站消息，商务部发布公告2025年第42号，公布对原产于印度的进口单模光纤所适用的反倾销措施发起期终复审调查。具体内容如下：2014年8月13日，商务部发布2014年第56号公告，决定自2014年8月14日起，对原产于印度的进口单模光纤征收反倾销税，税率为7.4%—30.6%，实施期限为5年。2020年8月13日，商务部发布2020年第29号公告，决定自2020年8月14日起，继续对原产于印度的进口单模光纤征收反倾销税，实施期限为5年。（商务部）</w:t>
      </w:r>
    </w:p>
    <w:p w14:paraId="019BD5DC">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4D6FA0F">
      <w:pPr>
        <w:pStyle w:val="3"/>
        <w:bidi w:val="0"/>
        <w:jc w:val="center"/>
        <w:rPr>
          <w:rFonts w:hint="eastAsia"/>
          <w:lang w:val="en-US" w:eastAsia="zh-CN"/>
        </w:rPr>
      </w:pPr>
      <w:r>
        <w:rPr>
          <w:rFonts w:hint="eastAsia"/>
          <w:lang w:val="en-US" w:eastAsia="zh-CN"/>
        </w:rPr>
        <w:t>三星电子对华半导体出口同比下滑11%</w:t>
      </w:r>
    </w:p>
    <w:p w14:paraId="30C62000">
      <w:pPr>
        <w:ind w:firstLine="640" w:firstLineChars="200"/>
        <w:rPr>
          <w:rFonts w:hint="default"/>
          <w:lang w:val="en-US" w:eastAsia="zh-CN"/>
        </w:rPr>
      </w:pPr>
      <w:r>
        <w:rPr>
          <w:rFonts w:hint="eastAsia"/>
          <w:lang w:val="en-US" w:eastAsia="zh-CN"/>
        </w:rPr>
        <w:t>8月18日，三星电子发布今年上半年在主要地区的销售情况相关报告。报告显示，公司对华出口额为28.7918万亿韩元（约合人民币1489亿元），同比减少11%。据了解，三星对华出口产品多数为半导体，具体包括LPDDR、NAND、图像传感器、显示器驱动芯片等用于移动终端的产品和HBM2·HBM2E等部分高带宽存储器产品。三星电子同期对美出口额为33.4759万亿韩元，超过对华出口。（韩联社）</w:t>
      </w:r>
    </w:p>
    <w:p w14:paraId="147ED49F">
      <w:pPr>
        <w:rPr>
          <w:rFonts w:hint="eastAsia"/>
          <w:lang w:val="en-US" w:eastAsia="zh-CN"/>
        </w:rPr>
      </w:pP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英伟达推出具身智能推理模型Cosmos Reason</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8月13日，英伟达推出一系列面向机器人开发者的世界模型、应用库和基础设施。其中，最引人关注的是参数量只有70亿的开源物理AI应用和机器人视觉推理模型Cosmos Reason。凭借记忆和理解能力，Cosmos Reason能够使机器人和AI具身代理“像人类一样推理”，并在真实世界中采取行动。</w:t>
      </w:r>
      <w:r>
        <w:rPr>
          <w:rFonts w:hint="eastAsia" w:ascii="Times New Roman" w:eastAsia="仿宋"/>
          <w:highlight w:val="none"/>
          <w:lang w:val="en-US" w:eastAsia="zh-CN"/>
        </w:rPr>
        <w:t>(</w:t>
      </w:r>
      <w:r>
        <w:rPr>
          <w:rFonts w:hint="eastAsia"/>
          <w:highlight w:val="none"/>
          <w:lang w:val="en-US" w:eastAsia="zh-CN"/>
        </w:rPr>
        <w:t>第一财经)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飞凯材料获得发明专利授权：“减少光刻胶使用量的方法及其应用”</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8月19日，证券之星消息，根据天眼查APP数据显示飞凯材料新获得一项发明专利授权，专利名为“减少光刻胶使用量的方法及其应用”，专利申请号为CN202211618295.X，授权日为2025年8月19日。专利摘要：本发明提供了一种减少光刻胶使用量的方法，包括以下步骤：提供衬底，在所述衬底上形成第一光刻胶湿膜；加热所述第一光刻胶湿膜，得到第一光刻胶层；通过第一印刷网版在所述第一光刻胶层上印刷，得到第二光刻胶湿膜；加热所述第二光刻胶湿膜，得到第二光刻胶层，其中，所述第二光刻胶层具有开孔；以及对所述第二光刻胶层和所述第一光刻胶层的叠加区域通过光掩膜版进行对准曝光，然后显影，以使显影后的所述第二光刻胶层和显影后的所述第一光刻胶层共同形成图形化光刻胶层，其中，所述图形化光刻胶层具有孔隙。本发明能够减少光刻胶的使用量。本发明还提供了一种所述的减少光刻胶使用量的方法在半导体先进封装制程中的应用。</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47C5FA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生益电子新增投资17.5亿建设智能算力电路板项目</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8月15日，生益电子发布公告称，公司拟投资约19亿元人民币建设智能制造高多层算力电路板项目，其中包括吉安二期项目已投入的厂房建设、设备等费用，本次新增投资约17.5亿元人民币。项目由全资子公司吉安生益电子有限公司实施，地点位于江西省吉安市井冈山经济技术开发区。公告显示，该项目为基于“吉安工厂（二期）多层印制电路板建设项目”的延续投资，计划分两阶段实施，总建设周期2.5年。其中第一阶段预计2026年试生产，第二阶段预计2027年试生产。项目聚焦智能制造高多层算力电路板领域，旨在满足服务器、高多层网络通信及AI算力等中高端市场需求，计划年产印制电路板70万平方米，每阶段各年产35万平方米。（证券时报</w:t>
      </w:r>
      <w:r>
        <w:rPr>
          <w:rFonts w:hint="eastAsia" w:ascii="Times New Roman" w:eastAsia="仿宋"/>
          <w:highlight w:val="none"/>
          <w:lang w:val="en-US" w:eastAsia="zh-CN"/>
        </w:rPr>
        <w:t>）</w:t>
      </w:r>
    </w:p>
    <w:p w14:paraId="7F6246FC">
      <w:pPr>
        <w:rPr>
          <w:rFonts w:hint="eastAsia" w:ascii="Times New Roman" w:eastAsia="仿宋"/>
          <w:highlight w:val="none"/>
          <w:lang w:val="en-US" w:eastAsia="zh-CN"/>
        </w:rPr>
      </w:pPr>
    </w:p>
    <w:p w14:paraId="032FDFED">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科翔股份拟募资不超过3亿元用于高端PCB产线升级</w:t>
      </w:r>
    </w:p>
    <w:p w14:paraId="681E33DD">
      <w:pPr>
        <w:ind w:firstLine="640" w:firstLineChars="200"/>
        <w:rPr>
          <w:rFonts w:hint="eastAsia" w:ascii="Times New Roman" w:eastAsia="仿宋"/>
          <w:highlight w:val="none"/>
          <w:lang w:val="en-US" w:eastAsia="zh-CN"/>
        </w:rPr>
      </w:pPr>
      <w:r>
        <w:rPr>
          <w:rFonts w:hint="eastAsia"/>
          <w:highlight w:val="none"/>
          <w:lang w:val="en-US" w:eastAsia="zh-CN"/>
        </w:rPr>
        <w:t>8月14日，科翔股份发布了2025年度以简易程序向特定对象发行股票的预案。本次发行面向不超过35名符合条件的特定投资者，计划募集资金总额不超过30,000.00万元。资金将主要用于智恩电子高端服务器用PCB产线升级（财联社</w:t>
      </w:r>
      <w:r>
        <w:rPr>
          <w:rFonts w:hint="eastAsia" w:ascii="Times New Roman" w:eastAsia="仿宋"/>
          <w:highlight w:val="none"/>
          <w:lang w:val="en-US" w:eastAsia="zh-CN"/>
        </w:rPr>
        <w:t>）</w:t>
      </w: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芯碁微装拟发行H股赴港上市，全球化布局再提速</w:t>
      </w:r>
    </w:p>
    <w:p w14:paraId="3B97F66E">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Times New Roman" w:eastAsia="仿宋"/>
          <w:highlight w:val="none"/>
          <w:lang w:val="en-US" w:eastAsia="zh-CN"/>
        </w:rPr>
      </w:pPr>
      <w:r>
        <w:rPr>
          <w:rFonts w:hint="eastAsia"/>
          <w:highlight w:val="none"/>
          <w:lang w:val="en-US" w:eastAsia="zh-CN"/>
        </w:rPr>
        <w:t>8月15日，芯碁微装近日公告拟在境外发行H股，并申请在香港联交所主板上市，旨在深化全球战略布局，提升品牌国际影响力，增强融资能力。公司表示将根据资本市场情况，在18个月内择机推进发行。目前，相关中介机构正就上市细节进行磋商，具体方案尚未最终确定。芯碁微装主营微纳直写光刻设备，2024年营收达9.54亿元，同比增长15.09%；海外收入同比增长212.32%，成为增长亮点。截至发稿，公司股价报131.3元，市值约172.98亿元，年内涨幅已超128%。</w:t>
      </w:r>
      <w:r>
        <w:rPr>
          <w:rFonts w:hint="eastAsia" w:ascii="Times New Roman" w:eastAsia="仿宋"/>
          <w:highlight w:val="none"/>
          <w:lang w:val="en-US" w:eastAsia="zh-CN"/>
        </w:rPr>
        <w:t>（</w:t>
      </w:r>
      <w:r>
        <w:rPr>
          <w:rFonts w:hint="eastAsia"/>
          <w:highlight w:val="none"/>
          <w:lang w:val="en-US" w:eastAsia="zh-CN"/>
        </w:rPr>
        <w:t>证券之星</w:t>
      </w:r>
      <w:r>
        <w:rPr>
          <w:rFonts w:hint="eastAsia" w:ascii="Times New Roman" w:eastAsia="仿宋"/>
          <w:highlight w:val="none"/>
          <w:lang w:val="en-US" w:eastAsia="zh-CN"/>
        </w:rPr>
        <w:t>）</w:t>
      </w:r>
    </w:p>
    <w:p w14:paraId="7C7C5314">
      <w:pPr>
        <w:jc w:val="center"/>
        <w:rPr>
          <w:rFonts w:hint="eastAsia" w:ascii="Arial" w:hAnsi="Arial" w:eastAsia="黑体" w:cstheme="minorBidi"/>
          <w:b/>
          <w:kern w:val="2"/>
          <w:sz w:val="32"/>
          <w:szCs w:val="24"/>
          <w:highlight w:val="none"/>
          <w:lang w:val="en-US" w:eastAsia="zh-CN" w:bidi="ar-SA"/>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AMD扩大马来西亚研发中心的规模</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8月</w:t>
      </w:r>
      <w:r>
        <w:rPr>
          <w:rFonts w:hint="eastAsia"/>
          <w:highlight w:val="none"/>
          <w:lang w:val="en-US" w:eastAsia="zh-CN"/>
        </w:rPr>
        <w:t>19</w:t>
      </w:r>
      <w:r>
        <w:rPr>
          <w:rFonts w:hint="eastAsia" w:ascii="Times New Roman" w:eastAsia="仿宋"/>
          <w:highlight w:val="none"/>
          <w:lang w:val="en-US" w:eastAsia="zh-CN"/>
        </w:rPr>
        <w:t>日，AMD 在槟城峇六拜启用了新的办公室和工程实验室设施，扩大了其在马来西亚的全球业务服务和工程业务</w:t>
      </w:r>
      <w:r>
        <w:rPr>
          <w:rFonts w:hint="eastAsia"/>
          <w:highlight w:val="none"/>
          <w:lang w:val="en-US" w:eastAsia="zh-CN"/>
        </w:rPr>
        <w:t>。</w:t>
      </w:r>
      <w:r>
        <w:rPr>
          <w:rFonts w:hint="eastAsia" w:ascii="Times New Roman" w:eastAsia="仿宋"/>
          <w:highlight w:val="none"/>
          <w:lang w:val="en-US" w:eastAsia="zh-CN"/>
        </w:rPr>
        <w:t>位于GBS by the Sea的新办公室占地20.9万平方英尺，可容纳1200多名员工。它设有开放式办公空间和工程实验室，以推动半导体设计的进步。（香港万得通讯社）</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 CPCA 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7732AA"/>
    <w:rsid w:val="049727D9"/>
    <w:rsid w:val="04BE6757"/>
    <w:rsid w:val="04CD32E2"/>
    <w:rsid w:val="04E81B1A"/>
    <w:rsid w:val="057F11D8"/>
    <w:rsid w:val="05BB5375"/>
    <w:rsid w:val="060D3218"/>
    <w:rsid w:val="06542070"/>
    <w:rsid w:val="065F5E83"/>
    <w:rsid w:val="06CC35FE"/>
    <w:rsid w:val="07565116"/>
    <w:rsid w:val="07AD5543"/>
    <w:rsid w:val="08773E7A"/>
    <w:rsid w:val="08C477D5"/>
    <w:rsid w:val="09834103"/>
    <w:rsid w:val="0A21302B"/>
    <w:rsid w:val="0A46280F"/>
    <w:rsid w:val="0A977BD6"/>
    <w:rsid w:val="0AFA5870"/>
    <w:rsid w:val="0B19257F"/>
    <w:rsid w:val="0B3F58BD"/>
    <w:rsid w:val="0B494101"/>
    <w:rsid w:val="0B6426D4"/>
    <w:rsid w:val="0B78105E"/>
    <w:rsid w:val="0B9176F8"/>
    <w:rsid w:val="0C9B6BDE"/>
    <w:rsid w:val="0C9C373F"/>
    <w:rsid w:val="0CCF6098"/>
    <w:rsid w:val="0D126C01"/>
    <w:rsid w:val="0D9373FE"/>
    <w:rsid w:val="0DAC478F"/>
    <w:rsid w:val="0DB15454"/>
    <w:rsid w:val="0E2B494A"/>
    <w:rsid w:val="0E47788B"/>
    <w:rsid w:val="0F046CBD"/>
    <w:rsid w:val="0F601A19"/>
    <w:rsid w:val="0F9E17AE"/>
    <w:rsid w:val="100920B1"/>
    <w:rsid w:val="104666EA"/>
    <w:rsid w:val="10946843"/>
    <w:rsid w:val="110E34BB"/>
    <w:rsid w:val="110E73FF"/>
    <w:rsid w:val="111028B5"/>
    <w:rsid w:val="11771034"/>
    <w:rsid w:val="124F6B19"/>
    <w:rsid w:val="12DA74B7"/>
    <w:rsid w:val="12DB66FD"/>
    <w:rsid w:val="12F91530"/>
    <w:rsid w:val="1306430A"/>
    <w:rsid w:val="136B7FB0"/>
    <w:rsid w:val="13835D97"/>
    <w:rsid w:val="138676EA"/>
    <w:rsid w:val="141C258C"/>
    <w:rsid w:val="14C12F5A"/>
    <w:rsid w:val="14E67A56"/>
    <w:rsid w:val="15251B3B"/>
    <w:rsid w:val="1526048F"/>
    <w:rsid w:val="15B46645"/>
    <w:rsid w:val="15DB7145"/>
    <w:rsid w:val="15E46F00"/>
    <w:rsid w:val="16960A92"/>
    <w:rsid w:val="16BC1C2B"/>
    <w:rsid w:val="16CF0148"/>
    <w:rsid w:val="17062EEA"/>
    <w:rsid w:val="17876D25"/>
    <w:rsid w:val="182267CA"/>
    <w:rsid w:val="18A46E1B"/>
    <w:rsid w:val="199B6470"/>
    <w:rsid w:val="1A622AE9"/>
    <w:rsid w:val="1A8C739D"/>
    <w:rsid w:val="1AB13D5A"/>
    <w:rsid w:val="1B72369B"/>
    <w:rsid w:val="1B842559"/>
    <w:rsid w:val="1C2516BD"/>
    <w:rsid w:val="1CAD60E0"/>
    <w:rsid w:val="1D18610F"/>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E43154"/>
    <w:rsid w:val="2489657E"/>
    <w:rsid w:val="24B27142"/>
    <w:rsid w:val="24E7219B"/>
    <w:rsid w:val="251A5E6D"/>
    <w:rsid w:val="25512847"/>
    <w:rsid w:val="25761848"/>
    <w:rsid w:val="261B7921"/>
    <w:rsid w:val="264755DA"/>
    <w:rsid w:val="26F9200B"/>
    <w:rsid w:val="270A498F"/>
    <w:rsid w:val="278F5BF6"/>
    <w:rsid w:val="27A243EC"/>
    <w:rsid w:val="27B4797D"/>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A05842"/>
    <w:rsid w:val="33B80305"/>
    <w:rsid w:val="33E62FE3"/>
    <w:rsid w:val="340919EE"/>
    <w:rsid w:val="3442486C"/>
    <w:rsid w:val="34AE33AA"/>
    <w:rsid w:val="34D423BC"/>
    <w:rsid w:val="350E5A19"/>
    <w:rsid w:val="35130D79"/>
    <w:rsid w:val="35284C04"/>
    <w:rsid w:val="35523A2F"/>
    <w:rsid w:val="35734034"/>
    <w:rsid w:val="35EF1F5F"/>
    <w:rsid w:val="363F160E"/>
    <w:rsid w:val="364C0923"/>
    <w:rsid w:val="36FA437E"/>
    <w:rsid w:val="373B350A"/>
    <w:rsid w:val="3783091D"/>
    <w:rsid w:val="37A7315E"/>
    <w:rsid w:val="38072E43"/>
    <w:rsid w:val="3885411B"/>
    <w:rsid w:val="38F44DFD"/>
    <w:rsid w:val="39273424"/>
    <w:rsid w:val="39817F30"/>
    <w:rsid w:val="3A6377F7"/>
    <w:rsid w:val="3A733271"/>
    <w:rsid w:val="3AC73557"/>
    <w:rsid w:val="3AE8373F"/>
    <w:rsid w:val="3AF712CC"/>
    <w:rsid w:val="3B170BE2"/>
    <w:rsid w:val="3B246918"/>
    <w:rsid w:val="3B66696F"/>
    <w:rsid w:val="3B835876"/>
    <w:rsid w:val="3BCD47A7"/>
    <w:rsid w:val="3BFA4E20"/>
    <w:rsid w:val="3C402568"/>
    <w:rsid w:val="3C503CCB"/>
    <w:rsid w:val="3E526AD0"/>
    <w:rsid w:val="3E5C7080"/>
    <w:rsid w:val="3FBC4A1D"/>
    <w:rsid w:val="40212FAA"/>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6F224F1"/>
    <w:rsid w:val="470D5B9F"/>
    <w:rsid w:val="474A22AA"/>
    <w:rsid w:val="47E524E0"/>
    <w:rsid w:val="4860600B"/>
    <w:rsid w:val="4873716A"/>
    <w:rsid w:val="48B122FB"/>
    <w:rsid w:val="495906E1"/>
    <w:rsid w:val="49624874"/>
    <w:rsid w:val="496C7652"/>
    <w:rsid w:val="49FD6C71"/>
    <w:rsid w:val="4A0842C1"/>
    <w:rsid w:val="4AD72DEE"/>
    <w:rsid w:val="4AE239CC"/>
    <w:rsid w:val="4B7A2929"/>
    <w:rsid w:val="4BB16EEF"/>
    <w:rsid w:val="4BB308C1"/>
    <w:rsid w:val="4D235647"/>
    <w:rsid w:val="4D761E2D"/>
    <w:rsid w:val="4DBA440F"/>
    <w:rsid w:val="4DD93651"/>
    <w:rsid w:val="4E1C41B2"/>
    <w:rsid w:val="4E9563FB"/>
    <w:rsid w:val="4F92297F"/>
    <w:rsid w:val="4FE9329C"/>
    <w:rsid w:val="50255A1F"/>
    <w:rsid w:val="50393156"/>
    <w:rsid w:val="5061150F"/>
    <w:rsid w:val="50D531EC"/>
    <w:rsid w:val="51267CC7"/>
    <w:rsid w:val="513545B7"/>
    <w:rsid w:val="51C21231"/>
    <w:rsid w:val="523A7692"/>
    <w:rsid w:val="5295690B"/>
    <w:rsid w:val="52DB4C0C"/>
    <w:rsid w:val="52ED4D9B"/>
    <w:rsid w:val="530C1269"/>
    <w:rsid w:val="53114AD1"/>
    <w:rsid w:val="534A4FB9"/>
    <w:rsid w:val="536B2F01"/>
    <w:rsid w:val="53C52D94"/>
    <w:rsid w:val="54326E8A"/>
    <w:rsid w:val="54353276"/>
    <w:rsid w:val="548062A4"/>
    <w:rsid w:val="553706EB"/>
    <w:rsid w:val="5562296B"/>
    <w:rsid w:val="55C776C9"/>
    <w:rsid w:val="55CC2437"/>
    <w:rsid w:val="562F41C2"/>
    <w:rsid w:val="56B15C42"/>
    <w:rsid w:val="570606C5"/>
    <w:rsid w:val="57AD12BC"/>
    <w:rsid w:val="580E7C59"/>
    <w:rsid w:val="58C70A30"/>
    <w:rsid w:val="591B0458"/>
    <w:rsid w:val="5949510A"/>
    <w:rsid w:val="59495621"/>
    <w:rsid w:val="599124C8"/>
    <w:rsid w:val="5A061CF3"/>
    <w:rsid w:val="5AE20ED1"/>
    <w:rsid w:val="5B61236E"/>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42A6415"/>
    <w:rsid w:val="646A0BE9"/>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D17894"/>
    <w:rsid w:val="6D0914F3"/>
    <w:rsid w:val="6D565020"/>
    <w:rsid w:val="6D635AD2"/>
    <w:rsid w:val="6DAA33EF"/>
    <w:rsid w:val="6DD134BB"/>
    <w:rsid w:val="6E20323A"/>
    <w:rsid w:val="6E31210E"/>
    <w:rsid w:val="6E71421E"/>
    <w:rsid w:val="6F401113"/>
    <w:rsid w:val="6F47651F"/>
    <w:rsid w:val="6F780080"/>
    <w:rsid w:val="703674CE"/>
    <w:rsid w:val="709A3F00"/>
    <w:rsid w:val="70B623BC"/>
    <w:rsid w:val="712F0AD2"/>
    <w:rsid w:val="71A96764"/>
    <w:rsid w:val="71B8286E"/>
    <w:rsid w:val="72B2653C"/>
    <w:rsid w:val="732764FB"/>
    <w:rsid w:val="73946B2F"/>
    <w:rsid w:val="74576EE0"/>
    <w:rsid w:val="748070FC"/>
    <w:rsid w:val="74B8340E"/>
    <w:rsid w:val="74BC1E14"/>
    <w:rsid w:val="75FA729D"/>
    <w:rsid w:val="77025C02"/>
    <w:rsid w:val="771E02F9"/>
    <w:rsid w:val="77A576CA"/>
    <w:rsid w:val="785D67BD"/>
    <w:rsid w:val="78903D77"/>
    <w:rsid w:val="789F5C2E"/>
    <w:rsid w:val="78BE62B2"/>
    <w:rsid w:val="793D02F4"/>
    <w:rsid w:val="79576B39"/>
    <w:rsid w:val="79E24222"/>
    <w:rsid w:val="79E355ED"/>
    <w:rsid w:val="7A022808"/>
    <w:rsid w:val="7A3309A2"/>
    <w:rsid w:val="7AD65B35"/>
    <w:rsid w:val="7B8A47A6"/>
    <w:rsid w:val="7B9F061D"/>
    <w:rsid w:val="7BC95581"/>
    <w:rsid w:val="7BF15DB3"/>
    <w:rsid w:val="7C0D4A92"/>
    <w:rsid w:val="7C71090E"/>
    <w:rsid w:val="7C981F04"/>
    <w:rsid w:val="7CD4288D"/>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3558</Words>
  <Characters>3966</Characters>
  <Lines>1</Lines>
  <Paragraphs>1</Paragraphs>
  <TotalTime>37</TotalTime>
  <ScaleCrop>false</ScaleCrop>
  <LinksUpToDate>false</LinksUpToDate>
  <CharactersWithSpaces>4049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2025-08-19T07:11:01Z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5B71EE0B63524239A8878230DF3DEEC7_13</vt:lpwstr>
  </property>
  <property fmtid="{D5CDD505-2E9C-101B-9397-08002B2CF9AE}" pid="4" name="KSOTemplateDocerSaveRecord">
    <vt:lpwstr>eyJoZGlkIjoiZWFlNjQ3NDIwZDEwN2RkZjI5ZmVhOGI2NjVlYTBkMTciLCJ1c2VySWQiOiIxMzgyMTM1ODU2In0=</vt:lpwstr>
  </property>
</Properties>
</file>