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第104期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2025年8月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每周资讯|上半年全国企业销售收入平稳增长“两新”政策成效明显；台光电加码投资美国加州全资子公司</w:t>
      </w:r>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欧盟暂停针对美国关税的两项反制措施6个月</w:t>
      </w:r>
    </w:p>
    <w:p w14:paraId="03B6C0F9">
      <w:pPr>
        <w:ind w:firstLine="640" w:firstLineChars="200"/>
        <w:jc w:val="left"/>
        <w:rPr>
          <w:rFonts w:hint="eastAsia"/>
          <w:lang w:val="en-US" w:eastAsia="zh-CN"/>
        </w:rPr>
      </w:pPr>
      <w:r>
        <w:rPr>
          <w:rFonts w:hint="eastAsia"/>
          <w:lang w:val="en-US" w:eastAsia="zh-CN"/>
        </w:rPr>
        <w:t> 8月5日，总台记者获悉，欧盟委员会发言人当天表示，根据欧盟与美国达成的协议，欧盟将在6个月内暂停实施针对美国关税的两项反制措施。美国总统特朗普和欧盟委员会主席冯德莱恩于当地时间7月27日在英国苏格兰举行非正式会晤，会后特朗普称美欧达成新贸易协议共识。在与冯德莱恩举行非正式会晤后，特朗普透露了新协议的部分细节，包括美国将对欧盟输美产品征收15%的关税、欧盟将对美增加6000亿美元投资及购买价值7500亿美元的美国能源等。(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马来西亚同意增加从美国购买科技产品和液化天然气</w:t>
      </w:r>
    </w:p>
    <w:p w14:paraId="18DA012E">
      <w:pPr>
        <w:ind w:firstLine="640" w:firstLineChars="200"/>
        <w:jc w:val="left"/>
        <w:rPr>
          <w:rFonts w:hint="eastAsia"/>
          <w:lang w:val="en-US" w:eastAsia="zh-CN"/>
        </w:rPr>
      </w:pPr>
      <w:r>
        <w:rPr>
          <w:rFonts w:hint="eastAsia"/>
          <w:lang w:val="en-US" w:eastAsia="zh-CN"/>
        </w:rPr>
        <w:t>8月4日，马来西亚贸易部长表示，该国将在未来五年内斥资高达 1500 亿美元，从美国跨国公司购买用于半导体、航空航天和数据中心领域的设备，这是与美国达成的削减关税协议的一部分。美国上周宣布，将从 8 月 8 日起对马来西亚产品征收 19% 的关税，低于上月威胁要征收的 25%。</w:t>
      </w:r>
      <w:r>
        <w:rPr>
          <w:rFonts w:hint="default"/>
          <w:lang w:eastAsia="zh-CN"/>
        </w:rPr>
        <w:t>（</w:t>
      </w:r>
      <w:r>
        <w:rPr>
          <w:rFonts w:hint="eastAsia"/>
          <w:lang w:val="en-US" w:eastAsia="zh-CN"/>
        </w:rPr>
        <w:t>环球市场</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上半年全国企业销售收入平稳增长“两新”政策成效明显</w:t>
      </w:r>
    </w:p>
    <w:p w14:paraId="4B4041A8">
      <w:pPr>
        <w:ind w:firstLine="640" w:firstLineChars="200"/>
        <w:rPr>
          <w:rFonts w:hint="eastAsia" w:ascii="Times New Roman" w:eastAsia="仿宋"/>
          <w:lang w:val="en-US" w:eastAsia="zh-CN"/>
        </w:rPr>
      </w:pPr>
      <w:r>
        <w:rPr>
          <w:rFonts w:hint="eastAsia"/>
          <w:highlight w:val="none"/>
          <w:lang w:val="en-US" w:eastAsia="zh-CN"/>
        </w:rPr>
        <w:t>8月4日，国家税务总局发布的最新数据显示，今年上半年，全国企业销售收入保持平稳增长，制造业发展稳中提质，“两新”政策成效明显。增值税发票数据显示，今年上半年，制造业销售收入增速较全国企业总体增速快1.5个百分点，成为稳定经济增长的重要支撑。制造业“高端化”也在稳步推进，装备制造业、高技术制造业销售收入同比分别增长8.9%和11.9%。</w:t>
      </w:r>
      <w:r>
        <w:rPr>
          <w:rFonts w:hint="eastAsia" w:ascii="Times New Roman" w:eastAsia="仿宋"/>
          <w:lang w:val="en-US" w:eastAsia="zh-CN"/>
        </w:rPr>
        <w:t>(</w:t>
      </w:r>
      <w:r>
        <w:rPr>
          <w:rFonts w:hint="eastAsia"/>
          <w:lang w:val="en-US" w:eastAsia="zh-CN"/>
        </w:rPr>
        <w:t>新华社</w:t>
      </w:r>
      <w:r>
        <w:rPr>
          <w:rFonts w:hint="eastAsia" w:ascii="Times New Roman" w:eastAsia="仿宋"/>
          <w:lang w:val="en-US" w:eastAsia="zh-CN"/>
        </w:rPr>
        <w:t>)</w:t>
      </w:r>
    </w:p>
    <w:p w14:paraId="15CE4CB6">
      <w:pPr>
        <w:ind w:firstLine="640" w:firstLineChars="200"/>
        <w:rPr>
          <w:rFonts w:hint="eastAsia" w:ascii="Times New Roman" w:eastAsia="仿宋"/>
          <w:lang w:val="en-US" w:eastAsia="zh-CN"/>
        </w:rPr>
      </w:pPr>
    </w:p>
    <w:p w14:paraId="2999416D">
      <w:pPr>
        <w:jc w:val="center"/>
        <w:rPr>
          <w:rFonts w:hint="default" w:ascii="黑体" w:hAnsi="黑体" w:eastAsia="黑体" w:cs="黑体"/>
          <w:b/>
          <w:bCs/>
          <w:lang w:val="en-US" w:eastAsia="zh-CN"/>
        </w:rPr>
      </w:pPr>
      <w:r>
        <w:rPr>
          <w:rFonts w:hint="default" w:ascii="黑体" w:hAnsi="黑体" w:eastAsia="黑体" w:cs="黑体"/>
          <w:b/>
          <w:bCs/>
          <w:lang w:val="en-US" w:eastAsia="zh-CN"/>
        </w:rPr>
        <w:t>央行二季度问卷调查显示，过半数企业家和银行家认为，当前宏观经济表现平稳正常</w:t>
      </w:r>
    </w:p>
    <w:p w14:paraId="34B3C844">
      <w:pPr>
        <w:ind w:firstLine="640" w:firstLineChars="200"/>
        <w:rPr>
          <w:rFonts w:hint="eastAsia" w:ascii="Times New Roman" w:eastAsia="仿宋"/>
          <w:lang w:val="en-US" w:eastAsia="zh-CN"/>
        </w:rPr>
      </w:pPr>
      <w:r>
        <w:rPr>
          <w:rFonts w:hint="eastAsia"/>
          <w:highlight w:val="none"/>
          <w:lang w:val="en-US" w:eastAsia="zh-CN"/>
        </w:rPr>
        <w:t>7月29日，中国人民银行日前发布的2025年第二季度企业家、银行家问卷调查结果显示，过半数企业家和银行家认为当前宏观经济表现平稳正常，对宏观经济整体持中性偏谨慎态度。在本次调查中，企业家的经营景气指数与盈利指数均较上季度有所上升；银行家对货币政策评价偏积极，对三季度宏观经济热度的预期有所升温。</w:t>
      </w:r>
      <w:r>
        <w:rPr>
          <w:rFonts w:hint="eastAsia" w:ascii="Times New Roman" w:eastAsia="仿宋"/>
          <w:lang w:val="en-US" w:eastAsia="zh-CN"/>
        </w:rPr>
        <w:t>(财联社</w:t>
      </w:r>
      <w:r>
        <w:rPr>
          <w:rFonts w:hint="eastAsia"/>
          <w:lang w:val="en-US"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乘联分会：7月全国新能源乘用车厂商批发销量118万辆，同比增长25%</w:t>
      </w:r>
    </w:p>
    <w:p w14:paraId="4420A97B">
      <w:pPr>
        <w:ind w:firstLine="640" w:firstLineChars="200"/>
        <w:rPr>
          <w:rFonts w:hint="eastAsia"/>
          <w:lang w:val="en-US" w:eastAsia="zh-CN"/>
        </w:rPr>
      </w:pPr>
      <w:r>
        <w:rPr>
          <w:rFonts w:hint="eastAsia"/>
          <w:lang w:val="en-US" w:eastAsia="zh-CN"/>
        </w:rPr>
        <w:t>8月4日，据乘联分会消息，根据月度初步乘联数据综合预估：7月全国新能源乘用车厂商批发销量118万辆，同比增长25%，环比下降4%。今年1-7月累计批发763万辆，同比增长35%。(证券时报)</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多家车企发布7月份销售数据，新能源汽车市场激战正酣</w:t>
      </w:r>
    </w:p>
    <w:p w14:paraId="18D1DFF3">
      <w:pPr>
        <w:ind w:firstLine="640" w:firstLineChars="200"/>
        <w:rPr>
          <w:rFonts w:hint="eastAsia"/>
          <w:highlight w:val="none"/>
          <w:lang w:val="en-US" w:eastAsia="zh-CN"/>
        </w:rPr>
      </w:pPr>
      <w:r>
        <w:rPr>
          <w:rFonts w:hint="eastAsia"/>
          <w:highlight w:val="none"/>
          <w:lang w:val="en-US" w:eastAsia="zh-CN"/>
        </w:rPr>
        <w:t>8月5日，多家车企陆续发布7月份汽车销售数据，中国新能源汽车市场延续高增长态势。自主车企方面，比亚迪以34.43万辆的销量继续稳坐头把交椅；上汽集团7月份整车销量达33.8万辆，同比增长34.2%；吉利汽车集团7月份汽车销量达23.77万辆，同比增长58%。新势力阵营在7月份迎来显著的格局变化，零跑汽车7月份销量为5.01万辆，同比增长超126%；小鹏汽车创下单月交付历史新高，7月份汽车销量达3.67万辆，同比激增229%。小米汽车科技有限公司成为新势力中的最大黑马，首款SUV小米YU7的交付推动其7月份销量首次突破3万辆大关。（财联社）</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八部门印发《机械工业数字化转型实施方案》目标到2027年建成不少于200家卓越级智能工厂</w:t>
      </w:r>
    </w:p>
    <w:p w14:paraId="312196D4">
      <w:pPr>
        <w:jc w:val="left"/>
        <w:rPr>
          <w:rFonts w:hint="eastAsia"/>
          <w:highlight w:val="none"/>
          <w:lang w:val="en-US" w:eastAsia="zh-CN"/>
        </w:rPr>
      </w:pPr>
      <w:r>
        <w:rPr>
          <w:rFonts w:hint="eastAsia"/>
          <w:highlight w:val="none"/>
          <w:lang w:val="en-US" w:eastAsia="zh-CN"/>
        </w:rPr>
        <w:t xml:space="preserve">   8月1日，工业和信息化部等八部门印发《机械工业数字化转型实施方案》，目标到2027年，数智技术在产品研发设计、生产制造、经营管理、运维服务等环节广泛应用，智能制造能力成熟度二级及以上企业占比达50%，建成不少于200家卓越级智能工厂，带动机械企业研发设计、生产制造、供应链管理数字化智能化水平稳步提升；培育一批既懂行业又懂数字化的系统解决方案供应商，形成不少于200个优秀场景化解决方案，服务能力显著增强。（证券时报）</w:t>
      </w:r>
    </w:p>
    <w:p w14:paraId="16CFA6BD">
      <w:pPr>
        <w:jc w:val="left"/>
        <w:rPr>
          <w:rFonts w:hint="eastAsia"/>
          <w:highlight w:val="none"/>
          <w:lang w:val="en-US" w:eastAsia="zh-CN"/>
        </w:rPr>
      </w:pPr>
    </w:p>
    <w:p w14:paraId="142234A2">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国家能源局：上半年全国可再生能源新增装机2.68亿千瓦 同比增长99.3%</w:t>
      </w:r>
    </w:p>
    <w:p w14:paraId="7ED3463B">
      <w:pPr>
        <w:jc w:val="left"/>
        <w:rPr>
          <w:rFonts w:hint="eastAsia" w:ascii="Times New Roman" w:eastAsia="仿宋"/>
          <w:highlight w:val="none"/>
          <w:lang w:val="en-US" w:eastAsia="zh-CN"/>
        </w:rPr>
      </w:pPr>
      <w:r>
        <w:rPr>
          <w:rFonts w:hint="eastAsia" w:ascii="Times New Roman" w:eastAsia="仿宋"/>
          <w:highlight w:val="none"/>
          <w:lang w:val="en-US" w:eastAsia="zh-CN"/>
        </w:rPr>
        <w:t xml:space="preserve">   7月31日</w:t>
      </w:r>
      <w:bookmarkStart w:id="0" w:name="_GoBack"/>
      <w:bookmarkEnd w:id="0"/>
      <w:r>
        <w:rPr>
          <w:rFonts w:hint="eastAsia" w:ascii="Times New Roman" w:eastAsia="仿宋"/>
          <w:highlight w:val="none"/>
          <w:lang w:val="en-US" w:eastAsia="zh-CN"/>
        </w:rPr>
        <w:t>，国家能源局新能源和可再生能源司副司长潘慧敏今日在发布会上表示，我国可再生能源装机规模持续实现新突破。可再生能源继续保持新增装机的主体地位，接近全国总装机的六成。今年上半年，全国可再生能源新增装机2.68亿千瓦，同比增长99.3%，约占新增装机的91.5%</w:t>
      </w:r>
      <w:r>
        <w:rPr>
          <w:rFonts w:hint="eastAsia"/>
          <w:highlight w:val="none"/>
          <w:lang w:val="en-US" w:eastAsia="zh-CN"/>
        </w:rPr>
        <w:t>。</w:t>
      </w:r>
      <w:r>
        <w:rPr>
          <w:rFonts w:hint="eastAsia" w:ascii="Times New Roman" w:eastAsia="仿宋"/>
          <w:highlight w:val="none"/>
          <w:lang w:val="en-US" w:eastAsia="zh-CN"/>
        </w:rPr>
        <w:t>其中，水电新增393万千瓦，风电新增5139万千瓦，太阳能发电新增2.12亿千瓦，生物质发电新增71万千瓦。截至今年6月底，全国可再生能源装机达到21.59亿千瓦，同比增长30.6%，约占我国总装机的59.2%，其中，水电装机4.4亿千瓦，风电装机5.73亿千瓦，太阳能发电装机11亿千瓦，生物质发电装机0.47亿千瓦。（证券时报）</w:t>
      </w:r>
    </w:p>
    <w:p w14:paraId="6E6E61BB">
      <w:pPr>
        <w:jc w:val="left"/>
        <w:rPr>
          <w:rFonts w:hint="eastAsia"/>
          <w:highlight w:val="none"/>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广信材料：龙南基地PCB光刻胶9000吨/年新产能已于2025年2月正式投产</w:t>
      </w:r>
    </w:p>
    <w:p w14:paraId="30C62000">
      <w:pPr>
        <w:ind w:firstLine="640" w:firstLineChars="200"/>
        <w:rPr>
          <w:rFonts w:hint="default"/>
          <w:lang w:val="en-US" w:eastAsia="zh-CN"/>
        </w:rPr>
      </w:pPr>
      <w:r>
        <w:rPr>
          <w:rFonts w:hint="eastAsia"/>
          <w:lang w:val="en-US" w:eastAsia="zh-CN"/>
        </w:rPr>
        <w:t>8月5日，广信材料在投资者互动平台回答称，公司龙南基地PCB光刻胶9000吨/年新产能已于2025年2月获得龙南市应急管理局批复正式投产，此外另有7000吨/年PCB光刻胶、11300吨/年原材料自制树脂新产能已于2025年4月获得批复并进行试生产，其他部分产能预计将于2025年下半年陆续根据市场需求及公司实际情况逐步启动试生产。（金融界）</w:t>
      </w:r>
    </w:p>
    <w:p w14:paraId="147ED49F">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一博科技：PCB工厂一期产能主要定位于生产高端快件，营收利润等财务指标逐月好转</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8月5日，据一博科技，公司PCB工厂一期产能主要定位于生产高端快件，为客户提供研发打样及中小批量PCB快速交付服务，订单种类以中高端、高多层的PCB研制为主，主要聚焦下一代服务器、ATE和其他跟AI紧密相关（算力卡、服务器、数据中心）的复杂PCB产品生产。该工厂自试生产以来，营收、利润、产能利用率等财务指标正逐月好转。</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崇达技术：控股子公司普诺威mSAP工艺产线已量产线宽/线距20/20微米产品，ETS埋线工艺能力达15/15微米</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8月5日，据崇达技术，公司控股子公司普诺威已建成 mSAP（改良型半加成法）工艺产线，并于 2023年9月正式连线投产。该产线聚焦于 RF 射频类封装基板、SiP 封装基板、PMIC封装基板、TPMS基板等高端应用领域。mSAP工艺已在量产线宽/线距 20/20 微米的产品，ETS埋线工艺的线宽/线距能力可达15/15微米，技术能力方面可满足先进封装基板的量产需求，目前搭配mSAP工艺制作的产品已在大批量出货。公司现阶段以先进封装基板为核心，通过 mSAP 工艺升级及客户认证体系构建技术护城河。COWOP技术目前仍处于行业研发验证阶段，公司尚未直接涉足 COWOP 封装，但在高精度 PCB 制造、先进封装基板及 AI 服务器领域的积累，为未来参与更高级别封装技术整合提供了可能性。</w:t>
      </w:r>
      <w:r>
        <w:rPr>
          <w:rFonts w:hint="eastAsia" w:ascii="Times New Roman" w:eastAsia="仿宋"/>
          <w:highlight w:val="none"/>
          <w:lang w:val="en-US" w:eastAsia="zh-CN"/>
        </w:rPr>
        <w:t>（</w:t>
      </w:r>
      <w:r>
        <w:rPr>
          <w:rFonts w:hint="eastAsia"/>
          <w:highlight w:val="none"/>
          <w:lang w:val="en-US" w:eastAsia="zh-CN"/>
        </w:rPr>
        <w:t>证券时报</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大族激光获得发明专利授权：“激光切割方法及系统”</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8月5日，证券之星消息，根据天眼查APP数据显示大族激光新获得一项发明专利授权，专利名为“激光切割方法及系统”，专利申请号为CN202110302363.0，授权日为2025年8月5日。专利摘要：本发明涉及激光切割技术领域，具体涉及一种激光切割方法及系统。所述方法包括：在完成对第一工件的切割加工之后，通过监控设备确定工件掉落空间中存在处于翘曲状态的第一工件时，获取第一工件的工件位置信息；确定加工顺序位于第一工件之后的第二工件，并获取第二工件的切割路径；根据轴定位坐标、起始切割坐标和工件位置信息确定第一最优移动路径；根据第一最优移动路径控制激光切割头从轴定位坐标移动至起始切割坐标之后，根据切割路径控制激光切割头对第二工件进行切割加工。（证券时报</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弘信电子拟投128亿建绿色智能数字基础设施</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8月1日晚间，弘信电子公告，公司控股子公司甘肃燧弘绿色算力有限公司计划与庆阳市人民政府共同签署《燧弘庆阳绿色智能数字基础设施项目投资框架协议》，合作共建包括高性能智算中心在内的多个项目。该项目总规划建设用地约500亩，预计总投资128亿元，并将分期建设。（财联社</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金安国纪：控股子公司上海金板60%股权以5300万元出售给杭州富坤电子</w:t>
      </w:r>
    </w:p>
    <w:p w14:paraId="3B97F66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highlight w:val="none"/>
          <w:lang w:val="en-US" w:eastAsia="zh-CN"/>
        </w:rPr>
      </w:pPr>
      <w:r>
        <w:rPr>
          <w:rFonts w:hint="eastAsia"/>
          <w:highlight w:val="none"/>
          <w:lang w:val="en-US" w:eastAsia="zh-CN"/>
        </w:rPr>
        <w:t>8月1日，金安国纪公告称，公司控股子公司上海金板科技有限公司60%股权通过公开挂牌方式出售，最终杭州富坤电子有限公司以人民币5,300万元成为受让方。公司已与杭州富坤签订《上海市产权交易合同》，并与杭州富坤及其实际控制人朱晓东签订《&lt;业绩承诺补偿协议&gt;的补充协议》。根据公告，本次交易经四次挂牌、三次调价，杭州富坤电子有限公司通过竞价以人民币5,300万元成为标的股权的受让方。公司于2025年7月30日与杭州富坤签订了《上海市产权交易合同》，约定杭州富坤已支付至上海联合产权交易所的保证金计人民币1,590万元直接转为本次产权交易部分价款，其余价款人民币3,710万元在合同生效之日起10个工作日内一次性支付。</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台光电加码投资美国加州全资子公司</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8月3日，台资CCL厂商台光电宣布，加码投资美国加州全资子公司Arlon EMD 4,900万美元(约合3.5亿人民币)。这是又一家重量级台湾企业扩大投资美国，该扩建计划预计2026年底在加州营运。（香港万得通讯社）</w:t>
      </w:r>
    </w:p>
    <w:p w14:paraId="19D517E2">
      <w:pPr>
        <w:rPr>
          <w:rFonts w:hint="eastAsia" w:ascii="Times New Roman" w:eastAsia="仿宋"/>
          <w:highlight w:val="none"/>
          <w:lang w:val="en-US" w:eastAsia="zh-CN"/>
        </w:rPr>
      </w:pPr>
    </w:p>
    <w:p w14:paraId="1C788E9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印度PCB企业Kaynes Circuits India计划投建新工厂</w:t>
      </w:r>
    </w:p>
    <w:p w14:paraId="44A2AB7A">
      <w:pPr>
        <w:ind w:firstLine="640" w:firstLineChars="200"/>
        <w:rPr>
          <w:rFonts w:hint="eastAsia" w:ascii="Times New Roman" w:eastAsia="仿宋"/>
          <w:highlight w:val="none"/>
          <w:lang w:val="en-US" w:eastAsia="zh-CN"/>
        </w:rPr>
      </w:pPr>
      <w:r>
        <w:rPr>
          <w:rFonts w:hint="eastAsia"/>
          <w:highlight w:val="none"/>
          <w:lang w:val="en-US" w:eastAsia="zh-CN"/>
        </w:rPr>
        <w:t>8月3日，印度PCB企业Kaynes Circuits India计划在印度南部泰米尔纳德邦Thoothukudi建设一座先进的电子元件制造工厂，投资额为499.5亿卢比(约合40.91亿人民币)，将生产74层印刷电路板、高密度互连(HDI)PCB、柔性电路板、高性能层压板、摄像头模块组件及线束组件等。该工厂可能位于越南公司VinFast拟建的电动汽车制造厂附近，从而提升Thoothukudi成为电子和电动汽车综合中心的潜力。项目建成后，预计将创造约4,700个就业岗位。</w:t>
      </w:r>
      <w:r>
        <w:rPr>
          <w:rFonts w:hint="eastAsia" w:ascii="Times New Roman" w:eastAsia="仿宋"/>
          <w:highlight w:val="none"/>
          <w:lang w:val="en-US" w:eastAsia="zh-CN"/>
        </w:rPr>
        <w:t>（</w:t>
      </w:r>
      <w:r>
        <w:rPr>
          <w:rFonts w:hint="eastAsia"/>
          <w:highlight w:val="none"/>
          <w:lang w:val="en-US" w:eastAsia="zh-CN"/>
        </w:rPr>
        <w:t>WIND）</w:t>
      </w: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773E7A"/>
    <w:rsid w:val="08C477D5"/>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2B494A"/>
    <w:rsid w:val="0E47788B"/>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251B3B"/>
    <w:rsid w:val="1526048F"/>
    <w:rsid w:val="15B46645"/>
    <w:rsid w:val="15DB7145"/>
    <w:rsid w:val="15E46F00"/>
    <w:rsid w:val="16960A92"/>
    <w:rsid w:val="16BC1C2B"/>
    <w:rsid w:val="16CF0148"/>
    <w:rsid w:val="17062EEA"/>
    <w:rsid w:val="17876D25"/>
    <w:rsid w:val="182267CA"/>
    <w:rsid w:val="18A46E1B"/>
    <w:rsid w:val="199B6470"/>
    <w:rsid w:val="1A622AE9"/>
    <w:rsid w:val="1A8C739D"/>
    <w:rsid w:val="1AB13D5A"/>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E43154"/>
    <w:rsid w:val="2489657E"/>
    <w:rsid w:val="24B27142"/>
    <w:rsid w:val="24E7219B"/>
    <w:rsid w:val="251A5E6D"/>
    <w:rsid w:val="25512847"/>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A05842"/>
    <w:rsid w:val="33B80305"/>
    <w:rsid w:val="33E62FE3"/>
    <w:rsid w:val="340919EE"/>
    <w:rsid w:val="3442486C"/>
    <w:rsid w:val="34AE33AA"/>
    <w:rsid w:val="34D423BC"/>
    <w:rsid w:val="350E5A19"/>
    <w:rsid w:val="35130D79"/>
    <w:rsid w:val="35284C04"/>
    <w:rsid w:val="35523A2F"/>
    <w:rsid w:val="35734034"/>
    <w:rsid w:val="35EF1F5F"/>
    <w:rsid w:val="363F160E"/>
    <w:rsid w:val="364C0923"/>
    <w:rsid w:val="36FA437E"/>
    <w:rsid w:val="373B350A"/>
    <w:rsid w:val="3783091D"/>
    <w:rsid w:val="37A7315E"/>
    <w:rsid w:val="38072E43"/>
    <w:rsid w:val="3885411B"/>
    <w:rsid w:val="38F44DFD"/>
    <w:rsid w:val="39273424"/>
    <w:rsid w:val="39817F30"/>
    <w:rsid w:val="3A6377F7"/>
    <w:rsid w:val="3A733271"/>
    <w:rsid w:val="3AC73557"/>
    <w:rsid w:val="3AE8373F"/>
    <w:rsid w:val="3AF712CC"/>
    <w:rsid w:val="3B170BE2"/>
    <w:rsid w:val="3B246918"/>
    <w:rsid w:val="3B66696F"/>
    <w:rsid w:val="3B835876"/>
    <w:rsid w:val="3BCD47A7"/>
    <w:rsid w:val="3BFA4E20"/>
    <w:rsid w:val="3C402568"/>
    <w:rsid w:val="3C503CCB"/>
    <w:rsid w:val="3E526AD0"/>
    <w:rsid w:val="3E5C7080"/>
    <w:rsid w:val="3FBC4A1D"/>
    <w:rsid w:val="40212FAA"/>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92297F"/>
    <w:rsid w:val="4FE9329C"/>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A31459"/>
    <w:rsid w:val="6AAF4B97"/>
    <w:rsid w:val="6ACD604F"/>
    <w:rsid w:val="6B184A21"/>
    <w:rsid w:val="6B9F6182"/>
    <w:rsid w:val="6C5A23DB"/>
    <w:rsid w:val="6C8F0A29"/>
    <w:rsid w:val="6C9824B9"/>
    <w:rsid w:val="6CD17894"/>
    <w:rsid w:val="6D0914F3"/>
    <w:rsid w:val="6D565020"/>
    <w:rsid w:val="6D635AD2"/>
    <w:rsid w:val="6DD134BB"/>
    <w:rsid w:val="6E20323A"/>
    <w:rsid w:val="6E31210E"/>
    <w:rsid w:val="6E71421E"/>
    <w:rsid w:val="6F401113"/>
    <w:rsid w:val="6F47651F"/>
    <w:rsid w:val="6F780080"/>
    <w:rsid w:val="703674CE"/>
    <w:rsid w:val="709A3F00"/>
    <w:rsid w:val="70B623BC"/>
    <w:rsid w:val="712F0AD2"/>
    <w:rsid w:val="71A96764"/>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2798</Words>
  <Characters>3153</Characters>
  <Lines>1</Lines>
  <Paragraphs>1</Paragraphs>
  <TotalTime>122</TotalTime>
  <ScaleCrop>false</ScaleCrop>
  <LinksUpToDate>false</LinksUpToDate>
  <CharactersWithSpaces>3211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2025-08-05T05:33:20Z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C2AE7BC102954270B9D27E502E93D330_13</vt:lpwstr>
  </property>
  <property fmtid="{D5CDD505-2E9C-101B-9397-08002B2CF9AE}" pid="4" name="KSOTemplateDocerSaveRecord">
    <vt:lpwstr>eyJoZGlkIjoiZWFlNjQ3NDIwZDEwN2RkZjI5ZmVhOGI2NjVlYTBkMTciLCJ1c2VySWQiOiIxMzgyMTM1ODU2In0=</vt:lpwstr>
  </property>
</Properties>
</file>