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第92期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2025年4月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工信部：亚马逊等美国电商平台集体提价</w:t>
      </w:r>
      <w:r>
        <w:rPr>
          <w:rFonts w:hint="eastAsia" w:cstheme="minorBidi"/>
          <w:b/>
          <w:kern w:val="2"/>
          <w:sz w:val="32"/>
          <w:szCs w:val="24"/>
          <w:highlight w:val="none"/>
          <w:lang w:val="en-US" w:eastAsia="zh-CN" w:bidi="ar-SA"/>
        </w:rPr>
        <w:t>；4月新能源车零售预计90万，渗透率超五成；证监会同意同宇新材创业板IPO注册</w:t>
      </w:r>
      <w:r>
        <w:rPr>
          <w:rFonts w:hint="eastAsia" w:ascii="Arial" w:hAnsi="Arial" w:eastAsia="黑体"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中共中央政治局就加强人工智能发展和监管进行第二十次集体学习</w:t>
      </w:r>
    </w:p>
    <w:p w14:paraId="03B6C0F9">
      <w:pPr>
        <w:ind w:firstLine="640" w:firstLineChars="200"/>
        <w:jc w:val="left"/>
        <w:rPr>
          <w:rFonts w:hint="eastAsia"/>
          <w:lang w:val="en-US" w:eastAsia="zh-CN"/>
        </w:rPr>
      </w:pPr>
      <w:r>
        <w:rPr>
          <w:rFonts w:hint="eastAsia"/>
          <w:lang w:val="en-US" w:eastAsia="zh-CN"/>
        </w:rPr>
        <w:t> 4月26日，中共中央总书记习近平在主持学习时强调，面对新一代人工智能技术快速演进的新形势，要充分发挥新型举国体制优势，坚持自立自强，突出应用导向，推动我国人工智能朝着有益、安全、公平方向健康有序发展。习近平强调，人工智能作为新技术新领域，政策支持很重要。要综合运用知识产权、财政税收、政府采购、设施开放等政策，做好科技金融文章。推进人工智能全学段教育和全社会通识教育，源源不断培养高素质人才。(央广网)</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中方在IMF发声：美滥施关税对新兴市场和发展中国家构成严峻挑战</w:t>
      </w:r>
    </w:p>
    <w:p w14:paraId="18DA012E">
      <w:pPr>
        <w:ind w:firstLine="640" w:firstLineChars="200"/>
        <w:jc w:val="left"/>
        <w:rPr>
          <w:rFonts w:hint="eastAsia"/>
          <w:lang w:val="en-US" w:eastAsia="zh-CN"/>
        </w:rPr>
      </w:pPr>
      <w:r>
        <w:rPr>
          <w:rFonts w:hint="eastAsia" w:ascii="Times New Roman" w:eastAsia="仿宋"/>
          <w:lang w:val="en-US" w:eastAsia="zh-CN"/>
        </w:rPr>
        <w:t> </w:t>
      </w:r>
      <w:r>
        <w:rPr>
          <w:rFonts w:hint="default"/>
          <w:lang w:eastAsia="zh-CN"/>
        </w:rPr>
        <w:t>4月</w:t>
      </w:r>
      <w:r>
        <w:rPr>
          <w:rFonts w:hint="eastAsia"/>
          <w:lang w:val="en-US" w:eastAsia="zh-CN"/>
        </w:rPr>
        <w:t>26日</w:t>
      </w:r>
      <w:r>
        <w:rPr>
          <w:rFonts w:hint="default"/>
          <w:lang w:eastAsia="zh-CN"/>
        </w:rPr>
        <w:t>，中国央行行长潘功胜在国际货币与金融委员会（IMFC）会议上表示，当前全球经济增长动能偏弱，下行风险突出。近期美国滥施关税，严重侵犯各国正当权益，严重损害以规则为基础的多边治理体制，严重冲击全球经济秩序，破坏全球经济长期稳定增长；同时也引发全球金融市场剧烈波动，发达经济体尤为严重。这对全球金融稳定造成威胁，对新兴市场经济体和发展中国家构成严峻挑战。潘功胜强调，中国愿进一步深化与国际货币基金组织的合作，支持基金组织在维护全球经济金融稳定方面发挥更大的作用。（</w:t>
      </w:r>
      <w:r>
        <w:rPr>
          <w:rFonts w:hint="eastAsia"/>
          <w:lang w:val="en-US" w:eastAsia="zh-CN"/>
        </w:rPr>
        <w:t>环球时报</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亚马逊等美国电商平台集体提价</w:t>
      </w:r>
    </w:p>
    <w:p w14:paraId="4B4041A8">
      <w:pPr>
        <w:ind w:firstLine="640" w:firstLineChars="200"/>
        <w:rPr>
          <w:rFonts w:hint="eastAsia" w:ascii="Times New Roman" w:eastAsia="仿宋"/>
          <w:lang w:val="en-US" w:eastAsia="zh-CN"/>
        </w:rPr>
      </w:pPr>
      <w:r>
        <w:rPr>
          <w:rFonts w:hint="eastAsia"/>
          <w:highlight w:val="none"/>
          <w:lang w:val="en-US" w:eastAsia="zh-CN"/>
        </w:rPr>
        <w:t>4月26日，近期特朗普关税政策导致全球贸易紧张局势加剧，商家运营成本上升。据美国媒体25日报道，美国亚马逊等电商平台上不少商家已经开始提高商品的售价。根据一家价格分析机构提供的数据，自4月9日以来，美国亚马逊网站上近1000种商品的价格出现明显上涨，涵盖服装、家居用品、电子产品和玩具等多个类别，平均涨价幅度接近30%。多个跨境电商平台均已发布公告称，由于“近期全球贸易规则及关税变动”导致运营成本上升，将从4月25日开始实施价格调整。</w:t>
      </w:r>
      <w:r>
        <w:rPr>
          <w:rFonts w:hint="eastAsia" w:ascii="Times New Roman" w:eastAsia="仿宋"/>
          <w:lang w:val="en-US" w:eastAsia="zh-CN"/>
        </w:rPr>
        <w:t>(</w:t>
      </w:r>
      <w:r>
        <w:rPr>
          <w:rFonts w:hint="eastAsia"/>
          <w:lang w:val="en-US" w:eastAsia="zh-CN"/>
        </w:rPr>
        <w:t>央广网</w:t>
      </w:r>
      <w:r>
        <w:rPr>
          <w:rFonts w:hint="eastAsia" w:ascii="Times New Roman" w:eastAsia="仿宋"/>
          <w:lang w:val="en-US" w:eastAsia="zh-CN"/>
        </w:rPr>
        <w:t>)</w:t>
      </w:r>
    </w:p>
    <w:p w14:paraId="0123FAB9">
      <w:pPr>
        <w:rPr>
          <w:rFonts w:hint="eastAsia" w:ascii="Times New Roman" w:eastAsia="仿宋"/>
          <w:lang w:val="en-US" w:eastAsia="zh-CN"/>
        </w:rPr>
      </w:pPr>
    </w:p>
    <w:p w14:paraId="369BCA9F">
      <w:pPr>
        <w:jc w:val="center"/>
        <w:rPr>
          <w:rFonts w:hint="default" w:ascii="黑体" w:hAnsi="黑体" w:eastAsia="黑体" w:cs="黑体"/>
          <w:b/>
          <w:bCs/>
          <w:lang w:val="en-US" w:eastAsia="zh-CN"/>
        </w:rPr>
      </w:pPr>
      <w:r>
        <w:rPr>
          <w:rFonts w:hint="eastAsia" w:ascii="黑体" w:hAnsi="黑体" w:eastAsia="黑体" w:cs="黑体"/>
          <w:b/>
          <w:bCs/>
          <w:lang w:val="en-US" w:eastAsia="zh-CN"/>
        </w:rPr>
        <w:t>政治局会议：要提高中低收入群体收入，设立服务消费与养老再贷款</w:t>
      </w:r>
    </w:p>
    <w:p w14:paraId="28F7E380">
      <w:pPr>
        <w:ind w:firstLine="640" w:firstLineChars="200"/>
        <w:rPr>
          <w:rFonts w:hint="default"/>
          <w:lang w:val="en-US" w:eastAsia="zh-CN"/>
        </w:rPr>
      </w:pPr>
      <w:r>
        <w:rPr>
          <w:rFonts w:hint="eastAsia"/>
          <w:highlight w:val="none"/>
          <w:lang w:val="en-US" w:eastAsia="zh-CN"/>
        </w:rPr>
        <w:t>4月25日，中共中央政治局会议指出，大力发展服务消费，设立服务消费与养老再贷款，扩围提质实施“两新”政策。优化存量商品房收购政策，持续巩固房地产市场稳定态势。持续稳定和活跃资本市场。对受关税影响较大的企业，提高失业保险基金稳岗返还比例。分析研究当前经济形势和经济工作。会议指出，要提高中低收入群体收入，大力发展服务消费，增强消费对经济增长的拉动作用。</w:t>
      </w:r>
      <w:r>
        <w:rPr>
          <w:rFonts w:hint="eastAsia" w:ascii="Times New Roman" w:eastAsia="仿宋"/>
          <w:lang w:val="en-US" w:eastAsia="zh-CN"/>
        </w:rPr>
        <w:t>(</w:t>
      </w:r>
      <w:r>
        <w:rPr>
          <w:rFonts w:hint="eastAsia"/>
          <w:lang w:val="en-US" w:eastAsia="zh-CN"/>
        </w:rPr>
        <w:t>澎湃新闻</w:t>
      </w:r>
      <w:r>
        <w:rPr>
          <w:rFonts w:hint="eastAsia" w:ascii="Times New Roman" w:eastAsia="仿宋"/>
          <w:lang w:val="en-US" w:eastAsia="zh-CN"/>
        </w:rPr>
        <w:t>)</w:t>
      </w:r>
    </w:p>
    <w:p w14:paraId="6F0A9952">
      <w:pPr>
        <w:rPr>
          <w:rFonts w:hint="default"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教育部举办人工智能校长局长专题培训班</w:t>
      </w:r>
    </w:p>
    <w:p w14:paraId="4420A97B">
      <w:pPr>
        <w:ind w:firstLine="640" w:firstLineChars="200"/>
        <w:rPr>
          <w:rFonts w:hint="eastAsia"/>
          <w:lang w:val="en-US" w:eastAsia="zh-CN"/>
        </w:rPr>
      </w:pPr>
      <w:r>
        <w:rPr>
          <w:rFonts w:hint="eastAsia"/>
          <w:lang w:val="en-US" w:eastAsia="zh-CN"/>
        </w:rPr>
        <w:t>4月26日，为落实国家教育数字化战略，全面提升中小学书记校长、地方教育局局长的人工智能领导力，近日，教育部举办人工智能校长局长专题培训班。教育部部长怀进鹏强调，要优化知识体系，提升师生素养技能，加快建设人工智能课程体系、推进课程教材建设，全面提升教师的智能素养和育人本领。要深化平台应用，赋能教育改革创新，建强用好国家智慧教育平台，深入实施人工智能赋能教育行动，加快智能基础设施提档升级。(界面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2025年1—3月进口汽车9.5万辆，同比下降39</w:t>
      </w:r>
    </w:p>
    <w:p w14:paraId="0B2D8D6F">
      <w:pPr>
        <w:ind w:firstLine="640" w:firstLineChars="200"/>
        <w:rPr>
          <w:rFonts w:hint="eastAsia" w:ascii="Times New Roman" w:eastAsia="仿宋"/>
          <w:highlight w:val="none"/>
          <w:lang w:val="en-US" w:eastAsia="zh-CN"/>
        </w:rPr>
      </w:pPr>
      <w:r>
        <w:rPr>
          <w:rFonts w:hint="eastAsia"/>
          <w:highlight w:val="none"/>
          <w:lang w:val="en-US" w:eastAsia="zh-CN"/>
        </w:rPr>
        <w:t>4月26日，乘联分会秘书长崔东树发文称，中国进口车进口量从2017年的124万辆持续以年均8%左右下行，到2023年仅有80万辆。2024年汽车进口70万辆，同比下降12%。2025年1—3月进口汽车9.5万辆，同比下降39%，这是近期少见的1—3月巨大下滑。其中3月进口车3.9万辆，下滑27%，下滑稍有改善。</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十部门推动交通运输与能源融合发展</w:t>
      </w:r>
    </w:p>
    <w:p w14:paraId="5E92CC52">
      <w:pPr>
        <w:ind w:firstLine="640" w:firstLineChars="200"/>
        <w:rPr>
          <w:rFonts w:hint="eastAsia" w:ascii="Times New Roman" w:eastAsia="仿宋"/>
          <w:lang w:val="en-US" w:eastAsia="zh-CN"/>
        </w:rPr>
      </w:pPr>
      <w:r>
        <w:rPr>
          <w:rFonts w:hint="eastAsia"/>
          <w:lang w:val="en-US" w:eastAsia="zh-CN"/>
        </w:rPr>
        <w:t>4月25日，交通运输部等十部门印发《关于推动交通运输与能源融合发展的指导意见》（下称《意见》），为加快建设交通强国和新型能源体系，推进交通基础设施网与能源网融合发展。《意见》提出，到2027年，交通运输行业电能占行业终端用能的比例达到10%。交通基础设施沿线非化石能源发电装机容量不低于500万千瓦，就近就地消纳比例稳步增加。新增汽车中新能源汽车占比逐年提升，交通运输绿色燃料生产能力显著提升。</w:t>
      </w:r>
      <w:r>
        <w:rPr>
          <w:rFonts w:hint="eastAsia" w:ascii="Times New Roman" w:eastAsia="仿宋"/>
          <w:lang w:val="en-US" w:eastAsia="zh-CN"/>
        </w:rPr>
        <w:t>（</w:t>
      </w:r>
      <w:r>
        <w:rPr>
          <w:rFonts w:hint="eastAsia"/>
          <w:lang w:val="en-US" w:eastAsia="zh-CN"/>
        </w:rPr>
        <w:t>证券时报</w:t>
      </w:r>
      <w:r>
        <w:rPr>
          <w:rFonts w:hint="eastAsia" w:ascii="Times New Roman" w:eastAsia="仿宋"/>
          <w:lang w:val="en-US" w:eastAsia="zh-CN"/>
        </w:rPr>
        <w:t>）</w:t>
      </w:r>
    </w:p>
    <w:p w14:paraId="1BB75A8D">
      <w:pPr>
        <w:rPr>
          <w:rFonts w:hint="eastAsia" w:ascii="Times New Roman" w:eastAsia="仿宋"/>
          <w:lang w:val="en-US" w:eastAsia="zh-CN"/>
        </w:rPr>
      </w:pPr>
    </w:p>
    <w:p w14:paraId="2412FE91">
      <w:pPr>
        <w:jc w:val="center"/>
        <w:rPr>
          <w:rFonts w:hint="default" w:ascii="黑体" w:hAnsi="黑体" w:eastAsia="黑体" w:cs="黑体"/>
          <w:b/>
          <w:bCs/>
          <w:lang w:val="en-US" w:eastAsia="zh-CN"/>
        </w:rPr>
      </w:pPr>
      <w:r>
        <w:rPr>
          <w:rFonts w:hint="eastAsia" w:ascii="黑体" w:hAnsi="黑体" w:eastAsia="黑体" w:cs="黑体"/>
          <w:b/>
          <w:bCs/>
          <w:lang w:val="en-US" w:eastAsia="zh-CN"/>
        </w:rPr>
        <w:t>我国风光装机首次超过火电</w:t>
      </w:r>
    </w:p>
    <w:p w14:paraId="3A3B63F3">
      <w:pPr>
        <w:ind w:firstLine="640" w:firstLineChars="200"/>
        <w:rPr>
          <w:rFonts w:hint="eastAsia" w:ascii="Times New Roman" w:eastAsia="仿宋"/>
          <w:lang w:val="en-US" w:eastAsia="zh-CN"/>
        </w:rPr>
      </w:pPr>
      <w:r>
        <w:rPr>
          <w:rFonts w:hint="eastAsia" w:ascii="Times New Roman" w:eastAsia="仿宋"/>
          <w:lang w:val="en-US" w:eastAsia="zh-CN"/>
        </w:rPr>
        <w:t>4月25日</w:t>
      </w:r>
      <w:r>
        <w:rPr>
          <w:rFonts w:hint="eastAsia"/>
          <w:lang w:val="en-US" w:eastAsia="zh-CN"/>
        </w:rPr>
        <w:t>，</w:t>
      </w:r>
      <w:r>
        <w:rPr>
          <w:rFonts w:hint="eastAsia" w:ascii="Times New Roman" w:eastAsia="仿宋"/>
          <w:lang w:val="en-US" w:eastAsia="zh-CN"/>
        </w:rPr>
        <w:t>国家能源局发布数据显示，今年一季度，我国风电光伏发电合计新增装机7433万千瓦，累计装机达14.82亿千瓦，首次超过火电装机。其中，风电5.36亿千瓦，光伏发电9.46亿千瓦。未来随着风电光伏新增装机持续快速增长，风电光伏装机超过火电将成为常态。数据显示，一季度，风电光伏合计发电量达5364亿千瓦时，在全社会用电量中占比达22.5%，较去年同期提高4.3个百分点；非化石能源发电量占比达到39.8%，同比提高4.8个百分点。受风电光伏快速增长并叠加一季度全社会用电量同比增速较低因素影响，风电光伏合计发电量较去年同期增加1110亿千瓦时，大幅超出全社会用电量增量。（</w:t>
      </w:r>
      <w:r>
        <w:rPr>
          <w:rFonts w:hint="eastAsia"/>
          <w:lang w:val="en-US" w:eastAsia="zh-CN"/>
        </w:rPr>
        <w:t>经济时报</w:t>
      </w:r>
      <w:r>
        <w:rPr>
          <w:rFonts w:hint="eastAsia" w:ascii="Times New Roman" w:eastAsia="仿宋"/>
          <w:lang w:val="en-US" w:eastAsia="zh-CN"/>
        </w:rPr>
        <w:t>）</w:t>
      </w:r>
    </w:p>
    <w:p w14:paraId="1F0D0ACD">
      <w:pPr>
        <w:jc w:val="center"/>
        <w:rPr>
          <w:rFonts w:hint="eastAsia" w:ascii="黑体" w:hAnsi="黑体" w:eastAsia="黑体" w:cs="黑体"/>
          <w:b/>
          <w:bCs/>
          <w:lang w:val="en-US" w:eastAsia="zh-CN"/>
        </w:rPr>
      </w:pPr>
    </w:p>
    <w:p w14:paraId="3EC729CB">
      <w:pPr>
        <w:jc w:val="center"/>
        <w:rPr>
          <w:rFonts w:hint="default" w:ascii="黑体" w:hAnsi="黑体" w:eastAsia="黑体" w:cs="黑体"/>
          <w:b/>
          <w:bCs/>
          <w:lang w:val="en-US" w:eastAsia="zh-CN"/>
        </w:rPr>
      </w:pPr>
      <w:r>
        <w:rPr>
          <w:rFonts w:hint="eastAsia" w:ascii="黑体" w:hAnsi="黑体" w:eastAsia="黑体" w:cs="黑体"/>
          <w:b/>
          <w:bCs/>
          <w:lang w:val="en-US" w:eastAsia="zh-CN"/>
        </w:rPr>
        <w:t>4月新能源车零售预计90万，渗透率超五成</w:t>
      </w:r>
    </w:p>
    <w:p w14:paraId="2E593F9D">
      <w:pPr>
        <w:ind w:firstLine="640" w:firstLineChars="200"/>
        <w:rPr>
          <w:rFonts w:hint="eastAsia" w:ascii="Times New Roman" w:eastAsia="仿宋"/>
          <w:lang w:val="en-US" w:eastAsia="zh-CN"/>
        </w:rPr>
      </w:pPr>
      <w:r>
        <w:rPr>
          <w:rFonts w:hint="eastAsia" w:ascii="Times New Roman" w:eastAsia="仿宋"/>
          <w:lang w:val="en-US" w:eastAsia="zh-CN"/>
        </w:rPr>
        <w:t>4月25日，乘联分会综合估算数据显示，4月狭义乘用车零售总市场预计约为175万辆，同比增长14.4%，环比下降9.8%。其中，新能源零售预计可达90万辆，渗透率达到51.4%。具体来看，4月第1周日均零售3.49万辆，同比增长2.1%；第2周日均零售4.37万辆，同比增长12.6%；第3周日均零售5.45万辆，同比增长17.0%。预计第四周和第五周日均零售8.53万辆，同比增长17.3%。（</w:t>
      </w:r>
      <w:r>
        <w:rPr>
          <w:rFonts w:hint="eastAsia"/>
          <w:lang w:val="en-US" w:eastAsia="zh-CN"/>
        </w:rPr>
        <w:t>证券</w:t>
      </w:r>
      <w:r>
        <w:rPr>
          <w:rFonts w:hint="eastAsia" w:ascii="Times New Roman" w:eastAsia="仿宋"/>
          <w:lang w:val="en-US" w:eastAsia="zh-CN"/>
        </w:rPr>
        <w:t>时报）</w:t>
      </w:r>
    </w:p>
    <w:p w14:paraId="03E4A162">
      <w:pPr>
        <w:rPr>
          <w:rFonts w:hint="eastAsia" w:ascii="Times New Roman" w:eastAsia="仿宋"/>
          <w:lang w:val="en-US" w:eastAsia="zh-CN"/>
        </w:rPr>
      </w:pPr>
    </w:p>
    <w:p w14:paraId="540FCA00">
      <w:pPr>
        <w:jc w:val="center"/>
        <w:rPr>
          <w:rFonts w:hint="default" w:ascii="黑体" w:hAnsi="黑体" w:eastAsia="黑体" w:cs="黑体"/>
          <w:b/>
          <w:bCs/>
          <w:lang w:val="en-US" w:eastAsia="zh-CN"/>
        </w:rPr>
      </w:pPr>
      <w:r>
        <w:rPr>
          <w:rFonts w:hint="eastAsia" w:ascii="黑体" w:hAnsi="黑体" w:eastAsia="黑体" w:cs="黑体"/>
          <w:b/>
          <w:bCs/>
          <w:lang w:val="en-US" w:eastAsia="zh-CN"/>
        </w:rPr>
        <w:t>工信部：一季度我国电信业务收入同比增0.7%</w:t>
      </w:r>
    </w:p>
    <w:p w14:paraId="185D1909">
      <w:pPr>
        <w:ind w:firstLine="640" w:firstLineChars="200"/>
        <w:rPr>
          <w:rFonts w:hint="eastAsia" w:ascii="Times New Roman" w:eastAsia="仿宋"/>
          <w:lang w:val="en-US" w:eastAsia="zh-CN"/>
        </w:rPr>
      </w:pPr>
      <w:r>
        <w:rPr>
          <w:rFonts w:hint="eastAsia"/>
          <w:lang w:val="en-US" w:eastAsia="zh-CN"/>
        </w:rPr>
        <w:t>4月</w:t>
      </w:r>
      <w:r>
        <w:rPr>
          <w:rFonts w:hint="eastAsia" w:ascii="Times New Roman" w:eastAsia="仿宋"/>
          <w:lang w:val="en-US" w:eastAsia="zh-CN"/>
        </w:rPr>
        <w:t>24日</w:t>
      </w:r>
      <w:r>
        <w:rPr>
          <w:rFonts w:hint="eastAsia"/>
          <w:lang w:val="en-US" w:eastAsia="zh-CN"/>
        </w:rPr>
        <w:t>，根据工信微报，</w:t>
      </w:r>
      <w:r>
        <w:rPr>
          <w:rFonts w:hint="eastAsia" w:ascii="Times New Roman" w:eastAsia="仿宋"/>
          <w:lang w:val="en-US" w:eastAsia="zh-CN"/>
        </w:rPr>
        <w:t>公布2025年一季度通信业经济运行情况。其中显示，一季度，电信业务收入累计完成4469亿元，同比增长0.7%。工信部指出，一季度，通信业整体运行平稳，电信业务量收保持增长，新型基础设施建设有序推进，5G、千兆、物联网等用户规模持续扩大，移动互联网接入流量保持较快增长。电信业务总体平稳。一季度，电信业务收入累计完成4469亿元，同比增长0.7%。按照上年不变价计算的电信业务总量同比增长7.7%。（</w:t>
      </w:r>
      <w:r>
        <w:rPr>
          <w:rFonts w:hint="eastAsia"/>
          <w:lang w:val="en-US" w:eastAsia="zh-CN"/>
        </w:rPr>
        <w:t>工信微报</w:t>
      </w:r>
      <w:r>
        <w:rPr>
          <w:rFonts w:hint="eastAsia" w:ascii="Times New Roman" w:eastAsia="仿宋"/>
          <w:lang w:val="en-US" w:eastAsia="zh-CN"/>
        </w:rPr>
        <w:t>）</w:t>
      </w:r>
    </w:p>
    <w:p w14:paraId="6F40D2E8">
      <w:pPr>
        <w:ind w:firstLine="640" w:firstLineChars="200"/>
        <w:rPr>
          <w:rFonts w:hint="eastAsia" w:ascii="Times New Roman" w:eastAsia="仿宋"/>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证监会同意同宇新材创业板IPO注册</w:t>
      </w:r>
    </w:p>
    <w:p w14:paraId="30C62000">
      <w:pPr>
        <w:ind w:firstLine="640" w:firstLineChars="200"/>
        <w:rPr>
          <w:rFonts w:hint="default"/>
          <w:lang w:val="en-US" w:eastAsia="zh-CN"/>
        </w:rPr>
      </w:pPr>
      <w:r>
        <w:rPr>
          <w:rFonts w:hint="eastAsia"/>
          <w:lang w:val="en-US" w:eastAsia="zh-CN"/>
        </w:rPr>
        <w:t>4月25日，中国证监会正式同意同宇新材料（广东）股份有限公司在创业板首次公开发行股票的注册申请，标志着该公司上市进程迈出关键一步。据悉，同宇新材IPO申请于2022年6月受理，历经两轮问询，2023年4月7日通过上市委审核，今日获证监会注册批复，上市进入最后阶段。　4月14日，同宇新材创业板IPO审核状态变更为提交注册。同宇新材本次公开发行股票数量不超过1000万股，拟募集资金为13亿元。招股书显示，同宇新材主营业务系电子树脂的研发、生产和销售。（新华网）</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苹果据悉计划最快明年在印度组装所有供应美国的Iphone</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4 月 </w:t>
      </w:r>
      <w:r>
        <w:rPr>
          <w:rFonts w:hint="eastAsia"/>
          <w:highlight w:val="none"/>
          <w:lang w:val="en-US" w:eastAsia="zh-CN"/>
        </w:rPr>
        <w:t>25</w:t>
      </w:r>
      <w:r>
        <w:rPr>
          <w:rFonts w:hint="eastAsia" w:ascii="Times New Roman" w:eastAsia="仿宋"/>
          <w:highlight w:val="none"/>
          <w:lang w:val="en-US" w:eastAsia="zh-CN"/>
        </w:rPr>
        <w:t>日，知情人士透露，由于特朗普总统发起的贸易战迫使苹果(AAPL.O)将业务重心从中国转移，该公司计划最早明年将所有在美国销售的iPhone的组装业务转移至印度。这一举措建立在苹果供应链多元化战略的基础之上，但进展的程度和速度超出了投资者的预期，其目标是到2026年底，美国每年销售的6000多万部iPhone全部从印度采购。这一目标意味着印度的iPhone产量将翻倍，此前近二十年来，苹果在中国投入大量资金打造了一条举世无双的生产线，助力其成长为一家市值3万亿美元的科技巨头。(财联社)</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迅捷兴获得发明专利授权：“一种外层柔性基板的软硬结合板及其POFV的制作方法”</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月26日，证券之星消息，根据天眼查APP数据显示迅捷兴（688655）新获得一项发明专利授权，专利名为“一种外层柔性基板的软硬结合板及其POFV的制作方法”，专利申请号为CN202011170411.7，授权日为2025年4月25日。专利摘要：本发明属于软硬结合板领域，尤其涉及一种外层柔性基板的软硬结合板及其POFV的制作方法。一种外层柔性基板的软硬结合板及其POFV的制作方法。外层柔性基板的软硬结合板包括拥有n层结构的硬板，硬板上表面之间设置有的柔性基板，硬板通过柔性基板连接处形成连接动态区，柔性基板的上表面和位于所述动态区的下表面覆盖有覆盖膜，在位于动态区的覆盖膜远离硬板一侧的表面间隔均匀开有条纹槽。</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弘信电子在甘肃新设科技公司 含云计算相关业务</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4月25日， 企查查APP显示，甘肃燧弘智启科技有限公司成立，法定代表人为毛燕，注册资本为1000万元，经营范围包含：云计算装备技术服务；云计算设备制造；计算机软硬件及辅助设备零售；人工智能公共数据平台；人工智能应用软件开发等。企查查股权穿透显示，该公司由弘信电子旗下上海燧弘华创科技有限公司全资持股。</w:t>
      </w:r>
      <w:r>
        <w:rPr>
          <w:rFonts w:hint="eastAsia" w:ascii="Times New Roman" w:eastAsia="仿宋"/>
          <w:highlight w:val="none"/>
          <w:lang w:val="en-US" w:eastAsia="zh-CN"/>
        </w:rPr>
        <w:t>（</w:t>
      </w:r>
      <w:r>
        <w:rPr>
          <w:rFonts w:hint="eastAsia"/>
          <w:highlight w:val="none"/>
          <w:lang w:val="en-US" w:eastAsia="zh-CN"/>
        </w:rPr>
        <w:t>人民财讯</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奥士康：拟注销全资子公司惠州奥士康以优化资源配置</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4月25日，奥士康公司于2025年4月23日召开第四届董事会第五次会议及第四届监事会第四次会议，审议通过《关于注销全资子公司的议案》，同意注销全资子公司奥士康精密电路（惠州）有限公司。公告显示，惠州奥士康成立于2005年2月2日，注册资本13,927.53万人民币，公司持有其100%股权。公司表示，注销原因为基于公司长期发展战略规划，为提高经营管理效率、降低生产成本，公司自2023年上半年逐步退租惠州奥士康厂房，并将其主要生产设备转移至广东基地、湖南基地，剩余部分对外出售。（WIND</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兴森科技：终止宜兴硅谷PCB二期项目并将剩余1.97亿元募集资金永久补流</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4月24日，</w:t>
      </w:r>
      <w:bookmarkStart w:id="0" w:name="_GoBack"/>
      <w:bookmarkEnd w:id="0"/>
      <w:r>
        <w:rPr>
          <w:rFonts w:hint="eastAsia"/>
          <w:highlight w:val="none"/>
          <w:lang w:val="en-US" w:eastAsia="zh-CN"/>
        </w:rPr>
        <w:t>兴森科技公告称，公司第七届董事会第七次会议审议通过《关于终止部分募集资金投资项目并将剩余募集资金永久补充流动资金的议案》，拟终止非公开发行股票募集资金投资项目"宜兴硅谷印刷线路板二期工程项目"，并将剩余募集资金19,652.34万元（含理财收益及利息扣除手续费支出等）永久补充流动资金。公告显示，该项目原计划在江苏宜兴建设PCB多层板产能，投产后新增8万平方米/月产能。但受2022年第四季度以来PCB行业需求不振、竞争加剧影响，目前仅建成约2万平方米/月产能。公司表示，由于客户结构不佳、竞争激烈导致产能未能充分释放，决定终止该项目后续建设。</w:t>
      </w:r>
      <w:r>
        <w:rPr>
          <w:rFonts w:hint="eastAsia" w:ascii="Times New Roman" w:eastAsia="仿宋"/>
          <w:highlight w:val="none"/>
          <w:lang w:val="en-US" w:eastAsia="zh-CN"/>
        </w:rPr>
        <w:t>（</w:t>
      </w:r>
      <w:r>
        <w:rPr>
          <w:rFonts w:hint="eastAsia"/>
          <w:highlight w:val="none"/>
          <w:lang w:val="en-US" w:eastAsia="zh-CN"/>
        </w:rPr>
        <w:t>香港万得通讯社</w:t>
      </w:r>
      <w:r>
        <w:rPr>
          <w:rFonts w:hint="eastAsia" w:ascii="Times New Roman" w:eastAsia="仿宋"/>
          <w:highlight w:val="none"/>
          <w:lang w:val="en-US" w:eastAsia="zh-CN"/>
        </w:rPr>
        <w:t>）</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2765870"/>
    <w:rsid w:val="047732AA"/>
    <w:rsid w:val="049727D9"/>
    <w:rsid w:val="04BE6757"/>
    <w:rsid w:val="04CD32E2"/>
    <w:rsid w:val="04E81B1A"/>
    <w:rsid w:val="057F11D8"/>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73FF"/>
    <w:rsid w:val="111028B5"/>
    <w:rsid w:val="11771034"/>
    <w:rsid w:val="124F6B19"/>
    <w:rsid w:val="12DA74B7"/>
    <w:rsid w:val="12DB66FD"/>
    <w:rsid w:val="12F91530"/>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FBC4A1D"/>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624874"/>
    <w:rsid w:val="496C7652"/>
    <w:rsid w:val="49FD6C71"/>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80E7C59"/>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1C17E3"/>
    <w:rsid w:val="611C70C4"/>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CD4288D"/>
    <w:rsid w:val="7DEA794F"/>
    <w:rsid w:val="7E2E4C53"/>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3810</Words>
  <Characters>4124</Characters>
  <Lines>1</Lines>
  <Paragraphs>1</Paragraphs>
  <TotalTime>0</TotalTime>
  <ScaleCrop>false</ScaleCrop>
  <LinksUpToDate>false</LinksUpToDate>
  <CharactersWithSpaces>4178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2025-04-28T08:09:49Z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71C0B23E1C12408BA7BFCC494FE46141_13</vt:lpwstr>
  </property>
  <property fmtid="{D5CDD505-2E9C-101B-9397-08002B2CF9AE}" pid="4" name="KSOTemplateDocerSaveRecord">
    <vt:lpwstr>eyJoZGlkIjoiZWFlNjQ3NDIwZDEwN2RkZjI5ZmVhOGI2NjVlYTBkMTciLCJ1c2VySWQiOiIxMzgyMTM1ODU2In0=</vt:lpwstr>
  </property>
</Properties>
</file>