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第89期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2025年4月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工信部：</w:t>
      </w:r>
      <w:bookmarkStart w:id="0" w:name="_GoBack"/>
      <w:bookmarkEnd w:id="0"/>
      <w:r>
        <w:rPr>
          <w:rFonts w:hint="eastAsia" w:ascii="Arial" w:hAnsi="Arial" w:eastAsia="黑体" w:cstheme="minorBidi"/>
          <w:b/>
          <w:kern w:val="2"/>
          <w:sz w:val="32"/>
          <w:szCs w:val="24"/>
          <w:highlight w:val="none"/>
          <w:lang w:val="en-US" w:eastAsia="zh-CN" w:bidi="ar-SA"/>
        </w:rPr>
        <w:t>1-2月规上电子信息制造业增加值同比增长10.6%；</w:t>
      </w:r>
      <w:r>
        <w:rPr>
          <w:rFonts w:hint="eastAsia" w:cstheme="minorBidi"/>
          <w:b/>
          <w:kern w:val="2"/>
          <w:sz w:val="32"/>
          <w:szCs w:val="24"/>
          <w:highlight w:val="none"/>
          <w:lang w:val="en-US" w:eastAsia="zh-CN" w:bidi="ar-SA"/>
        </w:rPr>
        <w:t>中富电路泰国子公司开业;胜宏科技越南子公司奠基</w:t>
      </w:r>
      <w:r>
        <w:rPr>
          <w:rFonts w:hint="eastAsia" w:ascii="Arial" w:hAnsi="Arial" w:eastAsia="黑体"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工信部：将出台2025年全国减轻企业负担工作实施方案</w:t>
      </w:r>
    </w:p>
    <w:p w14:paraId="03B6C0F9">
      <w:pPr>
        <w:ind w:firstLine="640" w:firstLineChars="200"/>
        <w:jc w:val="left"/>
        <w:rPr>
          <w:rFonts w:hint="eastAsia"/>
          <w:lang w:val="en-US" w:eastAsia="zh-CN"/>
        </w:rPr>
      </w:pPr>
      <w:r>
        <w:rPr>
          <w:rFonts w:hint="eastAsia"/>
          <w:lang w:val="en-US" w:eastAsia="zh-CN"/>
        </w:rPr>
        <w:t> 3月31日，国务院办公厅日前印发《关于建立健全涉企收费长效监管机制的指导意见》。国家发展改革委价格司司长牛育斌表示，通过相关制度安排，形成常态化、长效化治理机制，有利于全面规范涉企收费行为，有效遏制违规收费现象，切实减轻企业负担，激发企业的内生动力和市场活力；有利于进一步规范涉企收费秩序，打破因不合理收费造成的行业壁垒，使各类企业在相同的规则和环境下公平参与市场竞争。(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国家数据局：持续推进算力基础设施建设</w:t>
      </w:r>
    </w:p>
    <w:p w14:paraId="18DA012E">
      <w:pPr>
        <w:ind w:firstLine="640" w:firstLineChars="200"/>
        <w:jc w:val="left"/>
        <w:rPr>
          <w:rFonts w:hint="eastAsia"/>
          <w:lang w:val="en-US" w:eastAsia="zh-CN"/>
        </w:rPr>
      </w:pPr>
      <w:r>
        <w:rPr>
          <w:rFonts w:hint="eastAsia" w:ascii="Times New Roman" w:eastAsia="仿宋"/>
          <w:lang w:val="en-US" w:eastAsia="zh-CN"/>
        </w:rPr>
        <w:t> </w:t>
      </w:r>
      <w:r>
        <w:rPr>
          <w:rFonts w:hint="default"/>
          <w:lang w:eastAsia="zh-CN"/>
        </w:rPr>
        <w:t>3月</w:t>
      </w:r>
      <w:r>
        <w:rPr>
          <w:rFonts w:hint="eastAsia"/>
          <w:lang w:val="en-US" w:eastAsia="zh-CN"/>
        </w:rPr>
        <w:t>31</w:t>
      </w:r>
      <w:r>
        <w:rPr>
          <w:rFonts w:hint="default"/>
          <w:lang w:eastAsia="zh-CN"/>
        </w:rPr>
        <w:t>日</w:t>
      </w:r>
      <w:r>
        <w:rPr>
          <w:rFonts w:hint="eastAsia"/>
          <w:lang w:eastAsia="zh-CN"/>
        </w:rPr>
        <w:t>，</w:t>
      </w:r>
      <w:r>
        <w:rPr>
          <w:rFonts w:hint="default"/>
          <w:lang w:eastAsia="zh-CN"/>
        </w:rPr>
        <w:t>国新办就第八届数字中国建设峰会有关情况举行发布会，国家发展改革委党组成员、国家数据局局长刘烈宏表示，持续推进算力基础设施建设。算力是人工智能发展的基石。过去一年，国家数据局会同国家发展改革委、工业和信息化部、国家能源局等有关部门，大力实施“东数西算”工程，加快推进全国一体化算力网建设，协调推进算力建设与能源设施协同布局。今年底，我们要实现60%以上新增算力在国家枢纽节点集聚，新建大型数据中心使用绿电占比超过80%。（证券时报）</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工信部：将研究出台促进数字产业高质量发展的文件</w:t>
      </w:r>
    </w:p>
    <w:p w14:paraId="4B4041A8">
      <w:pPr>
        <w:ind w:firstLine="640" w:firstLineChars="200"/>
        <w:rPr>
          <w:rFonts w:hint="default"/>
          <w:lang w:val="en-US" w:eastAsia="zh-CN"/>
        </w:rPr>
      </w:pPr>
      <w:r>
        <w:rPr>
          <w:rFonts w:hint="eastAsia"/>
          <w:highlight w:val="none"/>
          <w:lang w:val="en-US" w:eastAsia="zh-CN"/>
        </w:rPr>
        <w:t>3月31日，工业和信息化部信息技术发展司司长王彦青在国新办今日就第八届数字中国建设峰会有关情况举行发布会上表示：将研究出台促进数字产业高质量发展的文件，下一步，我们将进一步协同各地区、各部门研究出台促进数字产业高质量发展的文件。将聚焦人工智能、关键软件等重点领域 培育一批创新成果转化平台。</w:t>
      </w:r>
      <w:r>
        <w:rPr>
          <w:rFonts w:hint="eastAsia" w:ascii="Times New Roman" w:eastAsia="仿宋"/>
          <w:lang w:val="en-US" w:eastAsia="zh-CN"/>
        </w:rPr>
        <w:t>(</w:t>
      </w:r>
      <w:r>
        <w:rPr>
          <w:rFonts w:hint="eastAsia"/>
          <w:lang w:val="en-US" w:eastAsia="zh-CN"/>
        </w:rPr>
        <w:t>财联社</w:t>
      </w:r>
      <w:r>
        <w:rPr>
          <w:rFonts w:hint="eastAsia" w:ascii="Times New Roman" w:eastAsia="仿宋"/>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DeepSeek月访问量超ChatGPT</w:t>
      </w:r>
    </w:p>
    <w:p w14:paraId="4420A97B">
      <w:pPr>
        <w:ind w:firstLine="640" w:firstLineChars="200"/>
        <w:rPr>
          <w:rFonts w:hint="eastAsia"/>
          <w:lang w:val="en-US" w:eastAsia="zh-CN"/>
        </w:rPr>
      </w:pPr>
      <w:r>
        <w:rPr>
          <w:rFonts w:hint="eastAsia"/>
          <w:lang w:val="en-US" w:eastAsia="zh-CN"/>
        </w:rPr>
        <w:t>3月31日，据AI分析平台aitools.xyz数据，DeepSeek已经成为全球增长最快的AI工具，其每月新增网站访问量已经超过OpenAI的ChatGPT。报告称，DeepSeek2025年2月访问量达到5.25亿次，超过ChatGPT5亿次。目前，DeepSeek市场份额6.58%，仅次于ChatGPT和Canva，二者分别占比43.16%和8.27%。(金融界)</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2025行业技术指数新发现：66%中国企业称AI助力工厂运营</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3月</w:t>
      </w:r>
      <w:r>
        <w:rPr>
          <w:rFonts w:hint="eastAsia"/>
          <w:highlight w:val="none"/>
          <w:lang w:val="en-US" w:eastAsia="zh-CN"/>
        </w:rPr>
        <w:t>29</w:t>
      </w:r>
      <w:r>
        <w:rPr>
          <w:rFonts w:hint="eastAsia" w:ascii="Times New Roman" w:eastAsia="仿宋"/>
          <w:highlight w:val="none"/>
          <w:lang w:val="en-US" w:eastAsia="zh-CN"/>
        </w:rPr>
        <w:t>日，TE Connectivity（下称“TE”）2025 年行业技术指数揭示了在行业格局变迁中，企业如何定义创新、AI 和可持续发展。报告显示，AI已在全球企业中被普遍使用，但不同国家AI采用率存在差异。在中国，60%的企业已经使用AI超过三年，是全球平均值的1.5倍，美国的6.7倍。具体应用方面，66%的中国企业认为工厂运营部门采用AI后受益最大，40%将能否提高产品或制造工艺的能效视为衡量AI成功的关键指标。（</w:t>
      </w:r>
      <w:r>
        <w:rPr>
          <w:rFonts w:hint="eastAsia"/>
          <w:highlight w:val="none"/>
          <w:lang w:val="en-US" w:eastAsia="zh-CN"/>
        </w:rPr>
        <w:t xml:space="preserve">第一财经 </w:t>
      </w:r>
      <w:r>
        <w:rPr>
          <w:rFonts w:hint="eastAsia" w:ascii="Times New Roman" w:eastAsia="仿宋"/>
          <w:highlight w:val="none"/>
          <w:lang w:val="en-US" w:eastAsia="zh-CN"/>
        </w:rPr>
        <w:t>）</w:t>
      </w:r>
    </w:p>
    <w:p w14:paraId="0C0F7887">
      <w:pPr>
        <w:rPr>
          <w:rFonts w:hint="eastAsia" w:ascii="Times New Roman" w:eastAsia="仿宋"/>
          <w:highlight w:val="none"/>
          <w:lang w:val="en-US" w:eastAsia="zh-CN"/>
        </w:rPr>
      </w:pPr>
    </w:p>
    <w:p w14:paraId="3AA66B14">
      <w:pPr>
        <w:jc w:val="center"/>
        <w:rPr>
          <w:rFonts w:hint="default" w:ascii="黑体" w:hAnsi="黑体" w:eastAsia="黑体" w:cs="黑体"/>
          <w:b/>
          <w:bCs/>
          <w:lang w:val="en-US" w:eastAsia="zh-CN"/>
        </w:rPr>
      </w:pPr>
      <w:r>
        <w:rPr>
          <w:rFonts w:hint="eastAsia" w:ascii="黑体" w:hAnsi="黑体" w:eastAsia="黑体" w:cs="黑体"/>
          <w:b/>
          <w:bCs/>
          <w:lang w:val="en-US" w:eastAsia="zh-CN"/>
        </w:rPr>
        <w:t>工信部：1-2月规上电子信息制造业增加值同比增长10.6%</w:t>
      </w:r>
    </w:p>
    <w:p w14:paraId="5E92CC52">
      <w:pPr>
        <w:ind w:firstLine="640" w:firstLineChars="200"/>
        <w:rPr>
          <w:rFonts w:hint="eastAsia" w:ascii="Times New Roman" w:eastAsia="仿宋"/>
          <w:lang w:val="en-US" w:eastAsia="zh-CN"/>
        </w:rPr>
      </w:pPr>
      <w:r>
        <w:rPr>
          <w:rFonts w:hint="eastAsia"/>
          <w:lang w:val="en-US" w:eastAsia="zh-CN"/>
        </w:rPr>
        <w:t>4</w:t>
      </w:r>
      <w:r>
        <w:rPr>
          <w:rFonts w:hint="eastAsia" w:ascii="Times New Roman" w:eastAsia="仿宋"/>
          <w:lang w:val="en-US" w:eastAsia="zh-CN"/>
        </w:rPr>
        <w:t>月</w:t>
      </w:r>
      <w:r>
        <w:rPr>
          <w:rFonts w:hint="eastAsia"/>
          <w:lang w:val="en-US" w:eastAsia="zh-CN"/>
        </w:rPr>
        <w:t>2</w:t>
      </w:r>
      <w:r>
        <w:rPr>
          <w:rFonts w:hint="eastAsia" w:ascii="Times New Roman" w:eastAsia="仿宋"/>
          <w:lang w:val="en-US" w:eastAsia="zh-CN"/>
        </w:rPr>
        <w:t>日</w:t>
      </w:r>
      <w:r>
        <w:rPr>
          <w:rFonts w:hint="eastAsia"/>
          <w:lang w:val="en-US" w:eastAsia="zh-CN"/>
        </w:rPr>
        <w:t>，据“工信微报”微信公众号消息，工业和信息化部4月1日发布2025年1-2月电子信息制造业运行情况。1-2月，我国电子信息制造业生产增长较快，出口持续回升，效益有所下滑，投资增速小幅回落，行业整体发展态势良好。1-2月，规模以上电子信息制造业增加值同比增长10.6%，增速分别比同期工业、高技术制造业高4.7个和1.5个百分点。</w:t>
      </w:r>
      <w:r>
        <w:rPr>
          <w:rFonts w:hint="eastAsia" w:ascii="Times New Roman" w:eastAsia="仿宋"/>
          <w:lang w:val="en-US" w:eastAsia="zh-CN"/>
        </w:rPr>
        <w:t>（</w:t>
      </w:r>
      <w:r>
        <w:rPr>
          <w:rFonts w:hint="eastAsia"/>
          <w:lang w:val="en-US" w:eastAsia="zh-CN"/>
        </w:rPr>
        <w:t>工信微报</w:t>
      </w:r>
      <w:r>
        <w:rPr>
          <w:rFonts w:hint="eastAsia" w:ascii="Times New Roman" w:eastAsia="仿宋"/>
          <w:lang w:val="en-US" w:eastAsia="zh-CN"/>
        </w:rPr>
        <w:t>）</w:t>
      </w:r>
    </w:p>
    <w:p w14:paraId="13738C1B">
      <w:pPr>
        <w:rPr>
          <w:rFonts w:hint="eastAsia" w:ascii="Times New Roman" w:eastAsia="仿宋"/>
          <w:lang w:val="en-US" w:eastAsia="zh-CN"/>
        </w:rPr>
      </w:pPr>
    </w:p>
    <w:p w14:paraId="3B299FE1">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日经：格芯或与联电合并，对抗成熟制程竞争</w:t>
      </w:r>
    </w:p>
    <w:p w14:paraId="30C62000">
      <w:pPr>
        <w:ind w:firstLine="640" w:firstLineChars="200"/>
        <w:rPr>
          <w:rFonts w:hint="eastAsia"/>
          <w:lang w:val="en-US" w:eastAsia="zh-CN"/>
        </w:rPr>
      </w:pPr>
      <w:r>
        <w:rPr>
          <w:rFonts w:hint="eastAsia"/>
          <w:lang w:val="en-US" w:eastAsia="zh-CN"/>
        </w:rPr>
        <w:t>4月1日，据《日经亚洲评论》获悉，美国晶圆代工厂商格芯（GlobalFoundries）与台湾第二大芯片制造商联华电子股份有限公司（United Microelectronics Corp.，简称 "联电"）正在探讨合并可能性。日经报道认为，此举正值是美国试图抵御中国在成熟制程芯片领域日益增长的竞争压力。根据《日经亚洲评论》看到的一份评估方案，格芯与联电的合并将创建一家更大的、以美国为基地的公司，其生产网络覆盖亚洲、美国和欧洲。该方案指出，合并目标是打造一家具备经济规模的企业，确保在美国与中国台湾地区关系紧张、且中国大陆本土芯片产能不断扩大的背景下，美国仍能保障成熟制程芯片的供应。（日经亚洲评论）</w:t>
      </w:r>
    </w:p>
    <w:p w14:paraId="147ED49F">
      <w:pPr>
        <w:rPr>
          <w:rFonts w:hint="eastAsia"/>
          <w:lang w:val="en-US" w:eastAsia="zh-CN"/>
        </w:rPr>
      </w:pP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日本加码扶植Rapidus：力求先进芯片国产化</w:t>
      </w:r>
    </w:p>
    <w:p w14:paraId="7441AE3D">
      <w:pPr>
        <w:ind w:firstLine="640" w:firstLineChars="200"/>
        <w:rPr>
          <w:rFonts w:hint="eastAsia" w:ascii="Times New Roman" w:eastAsia="仿宋"/>
          <w:highlight w:val="none"/>
          <w:lang w:val="en-US" w:eastAsia="zh-CN"/>
        </w:rPr>
      </w:pPr>
      <w:r>
        <w:rPr>
          <w:rFonts w:hint="eastAsia"/>
          <w:highlight w:val="none"/>
          <w:lang w:val="en-US" w:eastAsia="zh-CN"/>
        </w:rPr>
        <w:t>4</w:t>
      </w:r>
      <w:r>
        <w:rPr>
          <w:rFonts w:hint="eastAsia" w:ascii="Times New Roman" w:eastAsia="仿宋"/>
          <w:highlight w:val="none"/>
          <w:lang w:val="en-US" w:eastAsia="zh-CN"/>
        </w:rPr>
        <w:t>月1日，日本经济产业省宣布，将向芯片制造商Rapidus追加最高8025亿日元（约合388.71亿元人民币）的额外补贴，以支持其先进半导体制造项目。至此，日本政府对Rapidus的累计支持金额将达到约1.72万亿日元（约合833.13亿元人民币）。此次追加的8025亿日元中，6755亿日元将用于支持芯片制造的前道工序环节，另外1270亿日元将用于支持包括芯片封装和测试在内的后道工序环节。</w:t>
      </w:r>
      <w:r>
        <w:rPr>
          <w:rFonts w:hint="eastAsia"/>
          <w:highlight w:val="none"/>
          <w:lang w:val="en-US" w:eastAsia="zh-CN"/>
        </w:rPr>
        <w:t>(界面新闻)</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迅捷兴获得发明专利授权：“阶梯电路板镀金压合结构制作方法”</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w:t>
      </w:r>
      <w:r>
        <w:rPr>
          <w:rFonts w:hint="eastAsia" w:ascii="Times New Roman" w:eastAsia="仿宋"/>
          <w:highlight w:val="none"/>
          <w:lang w:val="en-US" w:eastAsia="zh-CN"/>
        </w:rPr>
        <w:t>月</w:t>
      </w:r>
      <w:r>
        <w:rPr>
          <w:rFonts w:hint="eastAsia"/>
          <w:highlight w:val="none"/>
          <w:lang w:val="en-US" w:eastAsia="zh-CN"/>
        </w:rPr>
        <w:t>2</w:t>
      </w:r>
      <w:r>
        <w:rPr>
          <w:rFonts w:hint="eastAsia" w:ascii="Times New Roman" w:eastAsia="仿宋"/>
          <w:highlight w:val="none"/>
          <w:lang w:val="en-US" w:eastAsia="zh-CN"/>
        </w:rPr>
        <w:t>日，证券之星消息，根据天眼查APP数据显示迅捷兴新获得一项发明专利授权，专利名为“阶梯电路板镀金压合结构制作方法”，专利申请号为CN202211287372.8，授权日为2025年4月1日。专利摘要：本发明提供了一种阶梯电路板镀金压合结构制作方法，包括：使用内层镀软金、贴茶色胶、阶梯空腔处流胶的控制、揭盖度比较小、质地柔软，且等步骤。本发明在阶梯电路板的内层镀软金，而镀软金的硬软金的纯度高，因此，提高了焊接的可靠性，可防止客户上元器件后脱落的风险，有利于确保元器件在恶劣环境中不出意外。（</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胜宏科技：泰国胜宏项目已完成收购越南胜宏项目预计2026年10月投运</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4月1日</w:t>
      </w:r>
      <w:r>
        <w:rPr>
          <w:rFonts w:hint="eastAsia" w:ascii="Times New Roman" w:eastAsia="仿宋"/>
          <w:highlight w:val="none"/>
          <w:lang w:val="en-US" w:eastAsia="zh-CN"/>
        </w:rPr>
        <w:t>，</w:t>
      </w:r>
      <w:r>
        <w:rPr>
          <w:rFonts w:hint="eastAsia"/>
          <w:highlight w:val="none"/>
          <w:lang w:val="en-US" w:eastAsia="zh-CN"/>
        </w:rPr>
        <w:t>胜宏科技表示，公司已于2024年9月30日完成对泰国胜宏的收购，目前在泰国拥有成熟的生产设施、业务资格和专业团队；越南胜宏项目正在建设中，预计2026年10月正式投运。泰国项目计划年产能150万平方米服务器、交换机等领域用高多层PCB产品，越南项目计划年产能15万平方米人工智能用高阶HDI产品，这将进一步扩大公司产能，满足客户对高端PCB产品的海外交付需求。</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景旺电子：江西基地三期于2024年投产</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4月1日</w:t>
      </w:r>
      <w:r>
        <w:rPr>
          <w:rFonts w:hint="eastAsia"/>
          <w:highlight w:val="none"/>
          <w:lang w:val="en-US" w:eastAsia="zh-CN"/>
        </w:rPr>
        <w:t>，</w:t>
      </w:r>
      <w:r>
        <w:rPr>
          <w:rFonts w:hint="eastAsia" w:ascii="Times New Roman" w:eastAsia="仿宋"/>
          <w:highlight w:val="none"/>
          <w:lang w:val="en-US" w:eastAsia="zh-CN"/>
        </w:rPr>
        <w:t>景旺电子</w:t>
      </w:r>
      <w:r>
        <w:rPr>
          <w:rFonts w:hint="eastAsia"/>
          <w:highlight w:val="none"/>
          <w:lang w:val="en-US" w:eastAsia="zh-CN"/>
        </w:rPr>
        <w:t>表示</w:t>
      </w:r>
      <w:r>
        <w:rPr>
          <w:rFonts w:hint="eastAsia" w:ascii="Times New Roman" w:eastAsia="仿宋"/>
          <w:highlight w:val="none"/>
          <w:lang w:val="en-US" w:eastAsia="zh-CN"/>
        </w:rPr>
        <w:t>，景旺江西基地一期于2014年投产、二期于2018年投产、三期于2024年投产，产能利用率均处于较高水平。公司项目建设采用边建设边投产的方式，会结合现有的产能需求情况、客户导入进展动态调整项目建设实施进度。公司专注自身经营管理，通过推动数字化管理、智能工厂建设提升生产效率，持续投入研发创新增加产品附加值，为客户提供最优的品质和一站式的全产品解决方案是公司的长期奋斗目标。</w:t>
      </w:r>
      <w:r>
        <w:rPr>
          <w:rFonts w:hint="eastAsia"/>
          <w:highlight w:val="none"/>
          <w:lang w:val="en-US" w:eastAsia="zh-CN"/>
        </w:rPr>
        <w:t>（WIND</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崇达技术：目前整体产能利用率87%左右，产能稼动率处于良好水平</w:t>
      </w:r>
    </w:p>
    <w:p w14:paraId="57D92D08">
      <w:pPr>
        <w:ind w:firstLine="640" w:firstLineChars="200"/>
        <w:rPr>
          <w:rFonts w:hint="eastAsia" w:ascii="Times New Roman" w:eastAsia="仿宋"/>
          <w:highlight w:val="none"/>
          <w:lang w:val="en-US" w:eastAsia="zh-CN"/>
        </w:rPr>
      </w:pPr>
      <w:r>
        <w:rPr>
          <w:rFonts w:hint="eastAsia"/>
          <w:highlight w:val="none"/>
          <w:lang w:val="en-US" w:eastAsia="zh-CN"/>
        </w:rPr>
        <w:t>4月1日，崇达技术在互动平台表示，公司目前整体产能利用率87%左右，产能稼动率处于良好水平。珠海崇达二期项目中的珠海二厂已于2024年6月试产，新增高多层PCB板产能6万平米/月，主要应用于服务器等领域。珠海三厂基建工程已完成，后续将根据公司整体规划和市场需求适时启动生产。珠海新工厂的投产将有助于提升公司在高端PCB产品领域的产能规模，公司将继续提升珠海工厂的产能提升速度。</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3B97F66E">
      <w:pPr>
        <w:rPr>
          <w:rFonts w:hint="eastAsia" w:ascii="Times New Roman" w:eastAsia="仿宋"/>
          <w:highlight w:val="none"/>
          <w:lang w:val="en-US" w:eastAsia="zh-CN"/>
        </w:rPr>
      </w:pPr>
    </w:p>
    <w:p w14:paraId="0FD0BB2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沪电股份：拟投资设立全资污水处理子公司，项目总投资预计不超过1.5亿元</w:t>
      </w:r>
    </w:p>
    <w:p w14:paraId="60B55D7C">
      <w:pPr>
        <w:jc w:val="center"/>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 xml:space="preserve">  4</w:t>
      </w:r>
      <w:r>
        <w:rPr>
          <w:rFonts w:hint="eastAsia" w:ascii="Times New Roman" w:eastAsia="仿宋"/>
          <w:highlight w:val="none"/>
          <w:lang w:val="en-US" w:eastAsia="zh-CN"/>
        </w:rPr>
        <w:t>月1日</w:t>
      </w:r>
      <w:r>
        <w:rPr>
          <w:rFonts w:hint="eastAsia"/>
          <w:highlight w:val="none"/>
          <w:lang w:val="en-US" w:eastAsia="zh-CN"/>
        </w:rPr>
        <w:t>，</w:t>
      </w:r>
      <w:r>
        <w:rPr>
          <w:rFonts w:hint="eastAsia" w:ascii="Times New Roman" w:eastAsia="仿宋"/>
          <w:highlight w:val="none"/>
          <w:lang w:val="en-US" w:eastAsia="zh-CN"/>
        </w:rPr>
        <w:t>香港万得通讯社报道，沪电股份公告称，为持续深化绿色制造实践，进一步改善区域水环境质量，公司拟投资设立全资污水处理子公司，建设运营日处理量不超过1.5万吨的污水处理厂，项目总投资预计不超过1.5亿元人民币。该投资事项在公司董事会审批权限范围内，无需提交公司股东会审议，不构成关联交易，也不构成《上市公司重大资产重组管理办法》规定的重大资产重组。（</w:t>
      </w:r>
      <w:r>
        <w:rPr>
          <w:rFonts w:hint="eastAsia"/>
          <w:highlight w:val="none"/>
          <w:lang w:val="en-US" w:eastAsia="zh-CN"/>
        </w:rPr>
        <w:t>香港万得通讯社</w:t>
      </w:r>
      <w:r>
        <w:rPr>
          <w:rFonts w:hint="eastAsia" w:ascii="Times New Roman" w:eastAsia="仿宋"/>
          <w:highlight w:val="none"/>
          <w:lang w:val="en-US" w:eastAsia="zh-CN"/>
        </w:rPr>
        <w:t>）</w:t>
      </w:r>
    </w:p>
    <w:p w14:paraId="575029F4">
      <w:pPr>
        <w:jc w:val="both"/>
        <w:rPr>
          <w:rFonts w:hint="eastAsia" w:ascii="Times New Roman" w:eastAsia="仿宋"/>
          <w:highlight w:val="none"/>
          <w:lang w:val="en-US" w:eastAsia="zh-CN"/>
        </w:rPr>
      </w:pPr>
    </w:p>
    <w:p w14:paraId="204F04CC">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中富电路泰国子公司开业</w:t>
      </w:r>
    </w:p>
    <w:p w14:paraId="45EDE9E4">
      <w:pPr>
        <w:ind w:firstLine="640" w:firstLineChars="200"/>
        <w:rPr>
          <w:rFonts w:hint="default" w:ascii="Times New Roman" w:eastAsia="仿宋"/>
          <w:highlight w:val="none"/>
          <w:lang w:val="en-US" w:eastAsia="zh-CN"/>
        </w:rPr>
      </w:pPr>
      <w:r>
        <w:rPr>
          <w:rFonts w:hint="eastAsia" w:ascii="Times New Roman" w:eastAsia="仿宋"/>
          <w:highlight w:val="none"/>
          <w:lang w:val="en-US" w:eastAsia="zh-CN"/>
        </w:rPr>
        <w:t xml:space="preserve"> 4月</w:t>
      </w:r>
      <w:r>
        <w:rPr>
          <w:rFonts w:hint="eastAsia"/>
          <w:highlight w:val="none"/>
          <w:lang w:val="en-US" w:eastAsia="zh-CN"/>
        </w:rPr>
        <w:t>2</w:t>
      </w:r>
      <w:r>
        <w:rPr>
          <w:rFonts w:hint="eastAsia" w:ascii="Times New Roman" w:eastAsia="仿宋"/>
          <w:highlight w:val="none"/>
          <w:lang w:val="en-US" w:eastAsia="zh-CN"/>
        </w:rPr>
        <w:t>日，中富电路泰国子公司——聚辰电子（泰国）有限公司（WTT Electronics Co., LTD）在泰中罗勇工业园举行开业仪式。据中富电路此前公告，公司泰国工厂预计总投资5亿元，将在泰中罗勇工业区建设年产100万平方米的PCB生产基地，产品将主要应用于通信、汽车、工控、医疗及消费电子等领域。项目于2023年7月19日正式奠基，经过稳步推进，如今顺利投产，未来有望为东南亚及全球客户提供高品质PCB产品与服务。（</w:t>
      </w:r>
      <w:r>
        <w:rPr>
          <w:rFonts w:hint="eastAsia"/>
          <w:highlight w:val="none"/>
          <w:lang w:val="en-US" w:eastAsia="zh-CN"/>
        </w:rPr>
        <w:t>WIND</w:t>
      </w:r>
      <w:r>
        <w:rPr>
          <w:rFonts w:hint="eastAsia" w:ascii="Times New Roman" w:eastAsia="仿宋"/>
          <w:highlight w:val="none"/>
          <w:lang w:val="en-US" w:eastAsia="zh-CN"/>
        </w:rPr>
        <w:t>）</w:t>
      </w:r>
    </w:p>
    <w:p w14:paraId="46329AFC">
      <w:pPr>
        <w:jc w:val="both"/>
        <w:rPr>
          <w:rFonts w:hint="eastAsia" w:ascii="Arial" w:hAnsi="Arial" w:eastAsia="黑体" w:cstheme="minorBidi"/>
          <w:b/>
          <w:kern w:val="2"/>
          <w:sz w:val="32"/>
          <w:szCs w:val="24"/>
          <w:highlight w:val="none"/>
          <w:lang w:val="en-US" w:eastAsia="zh-CN" w:bidi="ar-SA"/>
        </w:rPr>
      </w:pPr>
    </w:p>
    <w:p w14:paraId="7F3CC694">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胜宏科技（越南）有限公司奠基</w:t>
      </w:r>
    </w:p>
    <w:p w14:paraId="15AC42C8">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3月30日，胜宏科技（越南）有限公司奠基仪式在越南北宁省VSIP二期工业园隆重举行。公司位于越南北宁省VSIP二期工业园，项目分两期完成，第一期（2024—2026年）共投资2.6亿美元，第二期（2027—2030年）共投资2.6亿美元，计划总投资5.2亿美元，主要生产高端多层、高阶HDI，预计产值10亿美元。（</w:t>
      </w:r>
      <w:r>
        <w:rPr>
          <w:rFonts w:hint="eastAsia"/>
          <w:highlight w:val="none"/>
          <w:lang w:val="en-US" w:eastAsia="zh-CN"/>
        </w:rPr>
        <w:t>证券时报</w:t>
      </w:r>
      <w:r>
        <w:rPr>
          <w:rFonts w:hint="eastAsia" w:ascii="Times New Roman" w:eastAsia="仿宋"/>
          <w:highlight w:val="none"/>
          <w:lang w:val="en-US" w:eastAsia="zh-CN"/>
        </w:rPr>
        <w:t>）</w:t>
      </w:r>
    </w:p>
    <w:p w14:paraId="4E3B8840">
      <w:pPr>
        <w:ind w:firstLine="640" w:firstLineChars="200"/>
        <w:rPr>
          <w:rFonts w:hint="default"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0970586"/>
    <w:rsid w:val="01785675"/>
    <w:rsid w:val="017D23A8"/>
    <w:rsid w:val="01DC7DD6"/>
    <w:rsid w:val="01DF631E"/>
    <w:rsid w:val="02376B7A"/>
    <w:rsid w:val="047732AA"/>
    <w:rsid w:val="049727D9"/>
    <w:rsid w:val="04BE6757"/>
    <w:rsid w:val="04CD32E2"/>
    <w:rsid w:val="057F11D8"/>
    <w:rsid w:val="06CC35FE"/>
    <w:rsid w:val="07565116"/>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6B7FB0"/>
    <w:rsid w:val="13835D97"/>
    <w:rsid w:val="138676EA"/>
    <w:rsid w:val="141C258C"/>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0926FA"/>
    <w:rsid w:val="1F390CC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B2524AF"/>
    <w:rsid w:val="2B312C8E"/>
    <w:rsid w:val="2B7B5CB3"/>
    <w:rsid w:val="2C622E1D"/>
    <w:rsid w:val="2C7B02A7"/>
    <w:rsid w:val="2C8E7905"/>
    <w:rsid w:val="2CCF40E2"/>
    <w:rsid w:val="2CD53B9A"/>
    <w:rsid w:val="2CD77367"/>
    <w:rsid w:val="2D2626A0"/>
    <w:rsid w:val="2E1378EE"/>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3B350A"/>
    <w:rsid w:val="3783091D"/>
    <w:rsid w:val="37A7315E"/>
    <w:rsid w:val="3885411B"/>
    <w:rsid w:val="38F44DFD"/>
    <w:rsid w:val="39273424"/>
    <w:rsid w:val="39817F30"/>
    <w:rsid w:val="3A733271"/>
    <w:rsid w:val="3AC73557"/>
    <w:rsid w:val="3AE8373F"/>
    <w:rsid w:val="3AF712CC"/>
    <w:rsid w:val="3B170BE2"/>
    <w:rsid w:val="3B66696F"/>
    <w:rsid w:val="3B835876"/>
    <w:rsid w:val="3BCD47A7"/>
    <w:rsid w:val="3BFA4E20"/>
    <w:rsid w:val="3C402568"/>
    <w:rsid w:val="3E526AD0"/>
    <w:rsid w:val="3FBC4A1D"/>
    <w:rsid w:val="40212FAA"/>
    <w:rsid w:val="41517290"/>
    <w:rsid w:val="41BA2786"/>
    <w:rsid w:val="42861B49"/>
    <w:rsid w:val="43821181"/>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0D531EC"/>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AE20ED1"/>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1C17E3"/>
    <w:rsid w:val="611C70C4"/>
    <w:rsid w:val="61E138C1"/>
    <w:rsid w:val="61EE522D"/>
    <w:rsid w:val="62A734E8"/>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9A3F00"/>
    <w:rsid w:val="70B623BC"/>
    <w:rsid w:val="712F0AD2"/>
    <w:rsid w:val="71B8286E"/>
    <w:rsid w:val="72B2653C"/>
    <w:rsid w:val="732764FB"/>
    <w:rsid w:val="73946B2F"/>
    <w:rsid w:val="74576EE0"/>
    <w:rsid w:val="748070FC"/>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9F061D"/>
    <w:rsid w:val="7BC95581"/>
    <w:rsid w:val="7BF15DB3"/>
    <w:rsid w:val="7C981F04"/>
    <w:rsid w:val="7CD4288D"/>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2708</Words>
  <Characters>2864</Characters>
  <Lines>1</Lines>
  <Paragraphs>1</Paragraphs>
  <TotalTime>54</TotalTime>
  <ScaleCrop>false</ScaleCrop>
  <LinksUpToDate>false</LinksUpToDate>
  <CharactersWithSpaces>2909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2025-04-02T08:27:29Z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5CB5CF3A1B48480CB7862C8000AD491B_13</vt:lpwstr>
  </property>
  <property fmtid="{D5CDD505-2E9C-101B-9397-08002B2CF9AE}" pid="4" name="KSOTemplateDocerSaveRecord">
    <vt:lpwstr>eyJoZGlkIjoiZWFlNjQ3NDIwZDEwN2RkZjI5ZmVhOGI2NjVlYTBkMTciLCJ1c2VySWQiOiIxMzgyMTM1ODU2In0=</vt:lpwstr>
  </property>
</Properties>
</file>