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A8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distribute"/>
        <w:textAlignment w:val="baseline"/>
        <w:rPr>
          <w:rFonts w:hint="default" w:ascii="黑体" w:hAnsi="黑体" w:eastAsia="黑体" w:cs="黑体"/>
          <w:b/>
          <w:bCs/>
          <w:color w:val="FF0000"/>
          <w:sz w:val="48"/>
          <w:szCs w:val="48"/>
          <w:lang w:val="en-US" w:eastAsia="zh-CN"/>
        </w:rPr>
      </w:pPr>
      <w:r>
        <w:rPr>
          <w:rFonts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中国电子电路行业协</w:t>
      </w: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会</w:t>
      </w:r>
    </w:p>
    <w:p w14:paraId="213DAA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</w:pPr>
    </w:p>
    <w:p w14:paraId="07C5E7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/>
          <w:color w:val="C00000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  <w:t>第81期</w:t>
      </w:r>
    </w:p>
    <w:p w14:paraId="2AF244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/>
          <w:sz w:val="21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2024年12月</w:t>
      </w:r>
    </w:p>
    <w:p w14:paraId="1A7B2DB4">
      <w:pPr>
        <w:pStyle w:val="3"/>
        <w:numPr>
          <w:ilvl w:val="0"/>
          <w:numId w:val="0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每周资讯|</w:t>
      </w: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美国发布新一轮AI芯片管制新规</w:t>
      </w:r>
      <w:r>
        <w:rPr>
          <w:rFonts w:hint="eastAsia" w:cstheme="minorBidi"/>
          <w:b/>
          <w:kern w:val="2"/>
          <w:sz w:val="32"/>
          <w:szCs w:val="24"/>
          <w:highlight w:val="none"/>
          <w:lang w:val="en-US" w:eastAsia="zh-CN" w:bidi="ar-SA"/>
        </w:rPr>
        <w:t>；2024年新能源汽车销量同比增35.5%；一博科技拟收购珠海邑升顺</w:t>
      </w:r>
      <w:r>
        <w:rPr>
          <w:rFonts w:hint="eastAsia"/>
          <w:highlight w:val="none"/>
          <w:lang w:val="en-US" w:eastAsia="zh-CN"/>
        </w:rPr>
        <w:t>..</w:t>
      </w:r>
    </w:p>
    <w:p w14:paraId="66DAB04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</w:t>
      </w:r>
      <w:bookmarkStart w:id="0" w:name="_GoBack"/>
      <w:bookmarkEnd w:id="0"/>
    </w:p>
    <w:p w14:paraId="30FBD1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商务部等4部门办公厅关于做好2025年家电以旧换新工作的通知</w:t>
      </w:r>
    </w:p>
    <w:p w14:paraId="549B0797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15日，商务部等部门发布两份文件，部署实施数码产品购新补贴，以及做好2025年家电以旧换新工作，明确具体补贴品类和标准。其中，购买手机、平板、智能手表（手环）产品每件最高补500元，购买冰箱、洗衣机、电视、空调等12类家电产品每件最高补2000元。(证券时报)</w:t>
      </w:r>
    </w:p>
    <w:p w14:paraId="5932D46C">
      <w:pPr>
        <w:ind w:firstLine="640" w:firstLineChars="200"/>
        <w:rPr>
          <w:rFonts w:hint="eastAsia"/>
          <w:lang w:val="en-US" w:eastAsia="zh-CN"/>
        </w:rPr>
      </w:pPr>
    </w:p>
    <w:p w14:paraId="1795AA58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美国拜登政府发布新一轮AI芯片管制新规</w:t>
      </w:r>
    </w:p>
    <w:p w14:paraId="7B9F6B9E">
      <w:p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13日，美国拜登政府发布新一轮AI芯片管制新规，对全球百余个国家和地区施加AI芯片出口配额和限制。商务部新闻发言人表示，中方对此坚决反对，将采取必要措施，坚决维护自身正当权益。英伟达发布声明表示，拜登政府试图通过一份混乱的监管文件来削弱美国的领导地位，该文件是秘密起草的，且未经适当的立法审查。甲骨文表示，这项新规可能成为美国科技行业历史上最具破坏性的政策之一，“直接将美国公司的全球芯片市场缩小80%”。（财联社）</w:t>
      </w:r>
    </w:p>
    <w:p w14:paraId="5AA3F19D">
      <w:pPr>
        <w:jc w:val="left"/>
        <w:rPr>
          <w:rFonts w:hint="default"/>
          <w:highlight w:val="none"/>
          <w:lang w:val="en-US" w:eastAsia="zh-CN"/>
        </w:rPr>
      </w:pPr>
    </w:p>
    <w:p w14:paraId="6FD22D13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2024年我国货物贸易进出口总值43.85万亿元，同比增长5%</w:t>
      </w:r>
    </w:p>
    <w:p w14:paraId="36C6F2A7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13日上午，国务院新闻办召开新闻发布会。海关总署相关负责人介绍，2024年我国货物贸易进出口总值43.85万亿元，规模创历史新高，我国外贸总量、增量、质量均实现增长。据海关统计，2024年，我国货物贸易进出口总值43.85万亿元，同比增长5%。去年9月26日中央政治局会议果断部署一揽子增量政策，新一轮促进外贸稳定增长的若干举措迅速出台，有力推动四季度外贸实现11.51万亿元的季度历史新高，增速较三季度提升0.4个百分点。尤其是12月，进出口规模首次突破4万亿元，增速提升至6.8%，全年外贸圆满收官。（</w:t>
      </w:r>
      <w:r>
        <w:rPr>
          <w:rFonts w:hint="eastAsia"/>
          <w:highlight w:val="none"/>
          <w:lang w:val="en-US" w:eastAsia="zh-CN"/>
        </w:rPr>
        <w:t>央视新闻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11C0FEDE">
      <w:pPr>
        <w:rPr>
          <w:rFonts w:hint="eastAsia" w:ascii="Times New Roman" w:eastAsia="仿宋"/>
          <w:highlight w:val="none"/>
          <w:lang w:val="en-US" w:eastAsia="zh-CN"/>
        </w:rPr>
      </w:pPr>
    </w:p>
    <w:p w14:paraId="27453A02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四部门发布《关于促进数据标注产业高质量发展的实施意见》</w:t>
      </w:r>
    </w:p>
    <w:p w14:paraId="532F3F7E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</w:t>
      </w:r>
      <w:r>
        <w:rPr>
          <w:rFonts w:hint="eastAsia"/>
          <w:highlight w:val="none"/>
          <w:lang w:val="en-US" w:eastAsia="zh-CN"/>
        </w:rPr>
        <w:t>13</w:t>
      </w:r>
      <w:r>
        <w:rPr>
          <w:rFonts w:hint="eastAsia" w:ascii="Times New Roman" w:eastAsia="仿宋"/>
          <w:highlight w:val="none"/>
          <w:lang w:val="en-US" w:eastAsia="zh-CN"/>
        </w:rPr>
        <w:t>日，国家发展改革委、国家数据局、财政部、人力资源和社会保障部对外发布的《关于促进数据标注产业高质量发展的实施意见》（以下简称《实施意见》）提出，到2027年，数据标注产业专业化、智能化及科技创新能力显著提升，产业规模大幅跃升，年均复合增长率超过20%。数据标注产业是对数据进行筛选、清洗、分类、注释、标记和质量检验等加工处理的新兴产业。培育壮大数据标注产业对于提升数据供给质量、推动人工智能创新发展具有重要支撑作用。</w:t>
      </w:r>
      <w:r>
        <w:rPr>
          <w:rFonts w:hint="eastAsia"/>
          <w:highlight w:val="none"/>
          <w:lang w:val="en-US" w:eastAsia="zh-CN"/>
        </w:rPr>
        <w:t>（央广网）</w:t>
      </w:r>
    </w:p>
    <w:p w14:paraId="135018F7">
      <w:pPr>
        <w:rPr>
          <w:rFonts w:hint="eastAsia"/>
          <w:highlight w:val="none"/>
          <w:lang w:val="en-US" w:eastAsia="zh-CN"/>
        </w:rPr>
      </w:pPr>
    </w:p>
    <w:p w14:paraId="4E1F0926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加大力度推动扩消费工作</w:t>
      </w:r>
    </w:p>
    <w:p w14:paraId="18A1E979">
      <w:pPr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1月10日电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 w:ascii="Times New Roman" w:eastAsia="仿宋"/>
          <w:highlight w:val="none"/>
          <w:lang w:val="en-US" w:eastAsia="zh-CN"/>
        </w:rPr>
        <w:t>扩消费工作推进会在京召开，中共中央政治局委员、国务院副总理何立峰出席会议并讲话。他强调，要深入贯彻落实中央经济工作会议精神和国务院工作部署，深刻认识做好扩消费工作的重要意义，进一步增强紧迫感和责任感，坚持目标导向、问题导向，加大力度推动扩消费工作，着力扩大国内需求。何立峰指出，要加力扩围实施消费品以旧换新，加强政策宣传解读，不断提升便民服务水平。要加快推进内外贸一体化发展，对重点企业要加大帮扶力度，研究制定更有针对性举措。（</w:t>
      </w:r>
      <w:r>
        <w:rPr>
          <w:rFonts w:hint="eastAsia"/>
          <w:highlight w:val="none"/>
          <w:lang w:val="en-US" w:eastAsia="zh-CN"/>
        </w:rPr>
        <w:t>新华社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495F0AE0">
      <w:pPr>
        <w:ind w:firstLine="640" w:firstLineChars="200"/>
        <w:rPr>
          <w:rFonts w:hint="default"/>
          <w:highlight w:val="none"/>
          <w:lang w:val="en-US" w:eastAsia="zh-CN"/>
        </w:rPr>
      </w:pPr>
    </w:p>
    <w:p w14:paraId="667BAB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</w:t>
      </w:r>
    </w:p>
    <w:p w14:paraId="5EA216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中汽协：2024年新能源汽车产销分别完成1288.8万辆和1286.6万辆，同比分别增长34.4%和35.5%</w:t>
      </w:r>
    </w:p>
    <w:p w14:paraId="51C85F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eastAsia="仿宋"/>
          <w:lang w:val="en-US" w:eastAsia="zh-CN"/>
        </w:rPr>
      </w:pPr>
      <w:r>
        <w:rPr>
          <w:rFonts w:hint="eastAsia" w:ascii="Times New Roman" w:eastAsia="仿宋"/>
          <w:lang w:val="en-US" w:eastAsia="zh-CN"/>
        </w:rPr>
        <w:t>1月</w:t>
      </w:r>
      <w:r>
        <w:rPr>
          <w:rFonts w:hint="eastAsia"/>
          <w:lang w:val="en-US" w:eastAsia="zh-CN"/>
        </w:rPr>
        <w:t>13</w:t>
      </w:r>
      <w:r>
        <w:rPr>
          <w:rFonts w:hint="eastAsia" w:ascii="Times New Roman" w:eastAsia="仿宋"/>
          <w:lang w:val="en-US" w:eastAsia="zh-CN"/>
        </w:rPr>
        <w:t>日，</w:t>
      </w:r>
      <w:r>
        <w:rPr>
          <w:rFonts w:hint="eastAsia"/>
          <w:lang w:val="en-US" w:eastAsia="zh-CN"/>
        </w:rPr>
        <w:t>据中汽协数据，2024年，新能源汽车产销分别完成1288.8万辆和1286.6万辆，同比分别增长34.4%和35.5%，新能源汽车新车销量达到汽车新车总销量的40.9%，较2023年提高9.3个百分点。其中，纯电动汽车销量占新能源汽车比例为60%，较去年下降10.4个百分点；插混汽车销量占新能源汽车比例为40%，较去年提高10.4个百分点。插混汽车的增长迅速，成为带动新能源汽车增长的新动能。</w:t>
      </w:r>
      <w:r>
        <w:rPr>
          <w:rFonts w:hint="eastAsia" w:ascii="Times New Roman" w:eastAsia="仿宋"/>
          <w:lang w:val="en-US" w:eastAsia="zh-CN"/>
        </w:rPr>
        <w:t>(</w:t>
      </w:r>
      <w:r>
        <w:rPr>
          <w:rFonts w:hint="eastAsia"/>
          <w:lang w:val="en-US" w:eastAsia="zh-CN"/>
        </w:rPr>
        <w:t>证券时报</w:t>
      </w:r>
      <w:r>
        <w:rPr>
          <w:rFonts w:hint="eastAsia" w:ascii="Times New Roman" w:eastAsia="仿宋"/>
          <w:lang w:val="en-US" w:eastAsia="zh-CN"/>
        </w:rPr>
        <w:t>)</w:t>
      </w:r>
    </w:p>
    <w:p w14:paraId="3B8513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eastAsia="仿宋"/>
          <w:lang w:val="en-US" w:eastAsia="zh-CN"/>
        </w:rPr>
      </w:pPr>
    </w:p>
    <w:p w14:paraId="176A97DE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IDC：苹果iPhone2024年市占率下滑但仍居榜首</w:t>
      </w:r>
    </w:p>
    <w:p w14:paraId="4420A97B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14日，据国际数据公司（IDC）发布的初步数据显示，苹果和三星第四季全球智能手机出货量下降。IDC报告称，由于来自小米、Oppo和荣耀等企业的竞争加剧，苹果第四季全球出货量下降4.1%至7690万部，三星的出货量下降2.7%至5,170万部。2024年，苹果以18.7%的市场份额占据全球智能手机市场榜首，三星以18%紧随其后，然后是小米占13.6%。但是，在去年排名前五的智能手机品牌中，苹果的出货量下降了0.9%，三星的出货量下降了1.4%，而小米的出货量增长最快，猛增15.4%。第四季中国手机制造商的智能手机出货量占全球的56%，创单季总出货量最高纪录。(金融界)</w:t>
      </w:r>
    </w:p>
    <w:p w14:paraId="3CF738CA">
      <w:pPr>
        <w:rPr>
          <w:rFonts w:hint="eastAsia"/>
          <w:lang w:val="en-US" w:eastAsia="zh-CN"/>
        </w:rPr>
      </w:pPr>
    </w:p>
    <w:p w14:paraId="019BD5DC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</w:t>
      </w:r>
    </w:p>
    <w:p w14:paraId="44D6FA0F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Arm计划涨价高达300%，并考虑自行研发芯片</w:t>
      </w:r>
    </w:p>
    <w:p w14:paraId="28337CD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1月14日电，芯片技术供应商Arm Holdings（ARM）正在制定一项长期战略，计划将其芯片设计授权费用提高高达300%，并考虑自主研发芯片，以与其最大的客户展开竞争。这一消息源于上个月Arm与高通的一场诉讼中披露的内部文件和高管证词。尽管Arm试图通过诉讼向高通争取更高的授权费率，但最终未能成功。（财联社）</w:t>
      </w:r>
    </w:p>
    <w:p w14:paraId="30C62000">
      <w:pPr>
        <w:ind w:firstLine="640" w:firstLineChars="200"/>
        <w:rPr>
          <w:rFonts w:hint="eastAsia"/>
          <w:lang w:val="en-US" w:eastAsia="zh-CN"/>
        </w:rPr>
      </w:pPr>
    </w:p>
    <w:p w14:paraId="4DE28F38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台积电亚利桑那州工厂开始生产4纳米芯片</w:t>
      </w:r>
    </w:p>
    <w:p w14:paraId="7441AE3D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 xml:space="preserve"> 1月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 w:ascii="Times New Roman" w:eastAsia="仿宋"/>
          <w:highlight w:val="none"/>
          <w:lang w:val="en-US" w:eastAsia="zh-CN"/>
        </w:rPr>
        <w:t>日，据新加坡《联合早报》网站报道，台积电已开始在美国亚利桑那州的工厂生产先进的4纳米芯片。为了重振美国半导体产业，美国总统拜登2022年通过一项总值527亿美元的半导体制造和研究补贴计划，并说服包括台积电在内的领先半导体公司在美国设立晶圆厂。台积电目前在亚利桑那州有两座晶圆厂，2024年4月同意将投资额增加250亿美元至650亿美元，并计划于2030年在该州建立第三座晶圆厂。（</w:t>
      </w:r>
      <w:r>
        <w:rPr>
          <w:rFonts w:hint="eastAsia"/>
          <w:highlight w:val="none"/>
          <w:lang w:val="en-US" w:eastAsia="zh-CN"/>
        </w:rPr>
        <w:t>联合早报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23A9C2BB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</w:p>
    <w:p w14:paraId="785274FB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SK海力士据悉今年上半年削减10%的NAND产量</w:t>
      </w:r>
    </w:p>
    <w:p w14:paraId="2232F5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1月15日，由于供过于求，NAND 价格已连续四个月下跌，韩媒 TheElec 报道称，SK 海力士计划今年上半年将 NAND 产能降低 10% 。目前三星NAND总产能为每月30万片。存储器市场近期因需求疲软，价格持续走跌，美光去年12月已宣布NAND晶圆将减产10%，以调控供给量，期望能藉此提振市场需求。此外，在NAND设备上的支出已比原先计划减少，并放慢制程迁移的速度。（界面新闻）</w:t>
      </w:r>
    </w:p>
    <w:p w14:paraId="62FF2F26">
      <w:pPr>
        <w:rPr>
          <w:rFonts w:hint="default"/>
          <w:lang w:val="en-US" w:eastAsia="zh-CN"/>
        </w:rPr>
      </w:pPr>
    </w:p>
    <w:p w14:paraId="6D5FA081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深南电路：2024年四季度综合产能利用率环比保持平稳</w:t>
      </w:r>
    </w:p>
    <w:p w14:paraId="162E8058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1月16日，</w:t>
      </w:r>
      <w:r>
        <w:rPr>
          <w:rFonts w:hint="default"/>
          <w:lang w:val="en-US" w:eastAsia="zh-CN"/>
        </w:rPr>
        <w:t>证券时报e公司讯，深南电路(002916)在机构调研时表示，公司2024年第四季度综合产能利用率环比上季度保持平稳。公司FC-BGA封装基板已具备16层及以下产品批量生产能力，16层以上产品具备样品制造能力，其中20层产品送样认证工作亦有序推进中。公司已成为内资最大的封装基板供应商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证券时报</w:t>
      </w:r>
      <w:r>
        <w:rPr>
          <w:rFonts w:hint="default"/>
          <w:lang w:val="en-US" w:eastAsia="zh-CN"/>
        </w:rPr>
        <w:t>）</w:t>
      </w:r>
    </w:p>
    <w:p w14:paraId="59EBB364">
      <w:pPr>
        <w:ind w:firstLine="640" w:firstLineChars="200"/>
        <w:rPr>
          <w:rFonts w:hint="default"/>
          <w:lang w:val="en-US" w:eastAsia="zh-CN"/>
        </w:rPr>
      </w:pPr>
    </w:p>
    <w:p w14:paraId="7F5AB916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一博科技：人工智能类客户订单显著增长</w:t>
      </w:r>
    </w:p>
    <w:p w14:paraId="49CCFD90">
      <w:pPr>
        <w:ind w:firstLine="64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1月15日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在投资者互动平台回答称，从2023年报数据来看，人工智能类客户订单同比往年显著增长，且从目前来看，2024年的增长趋势明显。公司跟人工智能相关的头部企业多有合作,主要提供PCB设计、SI/PI仿真及后端的PCBA研发打样和中小批量制造服务，此类客户的业务范围主要包括语音识别、图片识别、机器人、机械臂、手术臂、智能制造等。未来，公司将继续深耕PCB这一电子产品基础领域，始终坚守为客户硬件研发赋能的初心，持续以PCB领域“技术专家”向客户及行业输出前沿的技术能力和丰富的实践经验，在引领硬件创新变革的浪潮中贡献力量。</w:t>
      </w:r>
      <w:r>
        <w:rPr>
          <w:rFonts w:hint="eastAsia"/>
          <w:lang w:val="en-US" w:eastAsia="zh-CN"/>
        </w:rPr>
        <w:t>（WIND）</w:t>
      </w:r>
    </w:p>
    <w:p w14:paraId="5E177192">
      <w:pPr>
        <w:ind w:firstLine="640" w:firstLineChars="200"/>
        <w:rPr>
          <w:rFonts w:hint="eastAsia"/>
          <w:lang w:val="en-US" w:eastAsia="zh-CN"/>
        </w:rPr>
      </w:pPr>
    </w:p>
    <w:p w14:paraId="4C61D86F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崇达技术：珠海二厂新增高多层PCB板产能6万平米/月</w:t>
      </w:r>
    </w:p>
    <w:p w14:paraId="4D0C85ED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default"/>
          <w:lang w:val="en-US" w:eastAsia="zh-CN"/>
        </w:rPr>
        <w:t>1月13日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崇达技术在投资者互动平台回答称，珠海崇达二期项目中的珠海二厂已于2024年6月试产，新增高多层PCB板产能6万平米/月，主要应用于服务器等领域、目前处于产能爬坡阶段。公司目前整体产能利用率87%左右，珠海一厂产能稼动率处于良好水平。三德冠生产的FPC有应用在可穿戴设备上，如：手表、运动手环等。公司生产的工控领域HDI产品30%以上都有盲埋孔。</w:t>
      </w:r>
      <w:r>
        <w:rPr>
          <w:rFonts w:hint="eastAsia" w:ascii="Times New Roman" w:eastAsia="仿宋"/>
          <w:lang w:val="en-US" w:eastAsia="zh-CN"/>
        </w:rPr>
        <w:t>（</w:t>
      </w:r>
      <w:r>
        <w:rPr>
          <w:rFonts w:hint="eastAsia"/>
          <w:lang w:val="en-US" w:eastAsia="zh-CN"/>
        </w:rPr>
        <w:t>WIND</w:t>
      </w:r>
      <w:r>
        <w:rPr>
          <w:rFonts w:hint="eastAsia" w:ascii="Times New Roman" w:eastAsia="仿宋"/>
          <w:lang w:val="en-US" w:eastAsia="zh-CN"/>
        </w:rPr>
        <w:t>）</w:t>
      </w:r>
    </w:p>
    <w:p w14:paraId="28BFD471">
      <w:pPr>
        <w:ind w:firstLine="640" w:firstLineChars="200"/>
        <w:rPr>
          <w:rFonts w:hint="eastAsia" w:ascii="Times New Roman" w:eastAsia="仿宋"/>
          <w:lang w:val="en-US" w:eastAsia="zh-CN"/>
        </w:rPr>
      </w:pPr>
    </w:p>
    <w:p w14:paraId="1DFAE8F6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一博科技拟7439.8万元收购珠海邑升顺32.2348%股权</w:t>
      </w:r>
    </w:p>
    <w:p w14:paraId="4E264B3D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default"/>
          <w:lang w:val="en-US" w:eastAsia="zh-CN"/>
        </w:rPr>
        <w:t>1月13日晚间，一博科技披露公告称，公司拟以自有资金或自筹资金7439.8万元收购控股子公司珠海市邑升顺电子有限公司（以下简称“珠海邑升顺”）少数股东32.2348%的股权。收购完成后，公司将持有珠海邑升顺100%股权。一博科技表示，本次收购事项是为了更好地实现公司战略发展目标，进一步整合财务、技术、市场、生产等方面的资源优势，提高公司对子公司的决策效率，降低管理成本与控制风险。收购完成后，珠海邑升顺将成为公司全资子公司。</w:t>
      </w:r>
      <w:r>
        <w:rPr>
          <w:rFonts w:hint="eastAsia" w:ascii="Times New Roman" w:eastAsia="仿宋"/>
          <w:lang w:val="en-US" w:eastAsia="zh-CN"/>
        </w:rPr>
        <w:t>（</w:t>
      </w:r>
      <w:r>
        <w:rPr>
          <w:rFonts w:hint="eastAsia"/>
          <w:lang w:val="en-US" w:eastAsia="zh-CN"/>
        </w:rPr>
        <w:t>北京商报</w:t>
      </w:r>
      <w:r>
        <w:rPr>
          <w:rFonts w:hint="eastAsia" w:ascii="Times New Roman" w:eastAsia="仿宋"/>
          <w:lang w:val="en-US" w:eastAsia="zh-CN"/>
        </w:rPr>
        <w:t>）</w:t>
      </w:r>
    </w:p>
    <w:p w14:paraId="0FFC55A7">
      <w:pPr>
        <w:rPr>
          <w:rFonts w:hint="eastAsia" w:ascii="Times New Roman" w:eastAsia="仿宋"/>
          <w:lang w:val="en-US" w:eastAsia="zh-CN"/>
        </w:rPr>
      </w:pPr>
    </w:p>
    <w:p w14:paraId="634CD8D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6530" cy="2957195"/>
            <wp:effectExtent l="0" t="0" r="1270" b="1905"/>
            <wp:docPr id="2" name="图片 2" descr="776564eff1e2e0b31fd36783ad8b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6564eff1e2e0b31fd36783ad8bb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36BB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 CPCA 服务号</w:t>
      </w:r>
    </w:p>
    <w:p w14:paraId="56539B09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02BF6BF2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583523D6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/>
          <w:lang w:val="en-US" w:eastAsia="zh-CN"/>
        </w:rPr>
      </w:pPr>
      <w: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AC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BA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BA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OWMyNjJmMjNlODM4ZmI5MmQxODQ5NGE2NzgyZGMifQ=="/>
  </w:docVars>
  <w:rsids>
    <w:rsidRoot w:val="00172A27"/>
    <w:rsid w:val="008F6183"/>
    <w:rsid w:val="01785675"/>
    <w:rsid w:val="01DC7DD6"/>
    <w:rsid w:val="01DF631E"/>
    <w:rsid w:val="02376B7A"/>
    <w:rsid w:val="047732AA"/>
    <w:rsid w:val="049727D9"/>
    <w:rsid w:val="04BE6757"/>
    <w:rsid w:val="04CD32E2"/>
    <w:rsid w:val="057F11D8"/>
    <w:rsid w:val="06CC35FE"/>
    <w:rsid w:val="07AD5543"/>
    <w:rsid w:val="09834103"/>
    <w:rsid w:val="0A21302B"/>
    <w:rsid w:val="0A46280F"/>
    <w:rsid w:val="0A977BD6"/>
    <w:rsid w:val="0AFA5870"/>
    <w:rsid w:val="0B3F58BD"/>
    <w:rsid w:val="0B494101"/>
    <w:rsid w:val="0B6426D4"/>
    <w:rsid w:val="0B78105E"/>
    <w:rsid w:val="0B9176F8"/>
    <w:rsid w:val="0C9B6BDE"/>
    <w:rsid w:val="0CCF6098"/>
    <w:rsid w:val="0D9373FE"/>
    <w:rsid w:val="0DAC478F"/>
    <w:rsid w:val="0DB15454"/>
    <w:rsid w:val="0E47788B"/>
    <w:rsid w:val="0F046CBD"/>
    <w:rsid w:val="0F601A19"/>
    <w:rsid w:val="0F9E17AE"/>
    <w:rsid w:val="100920B1"/>
    <w:rsid w:val="104666EA"/>
    <w:rsid w:val="110E73FF"/>
    <w:rsid w:val="111028B5"/>
    <w:rsid w:val="11771034"/>
    <w:rsid w:val="124F6B19"/>
    <w:rsid w:val="12DA74B7"/>
    <w:rsid w:val="12DB66FD"/>
    <w:rsid w:val="12F91530"/>
    <w:rsid w:val="138676EA"/>
    <w:rsid w:val="14C12F5A"/>
    <w:rsid w:val="15251B3B"/>
    <w:rsid w:val="1526048F"/>
    <w:rsid w:val="15DB7145"/>
    <w:rsid w:val="15E46F00"/>
    <w:rsid w:val="16960A92"/>
    <w:rsid w:val="16BC1C2B"/>
    <w:rsid w:val="16CF0148"/>
    <w:rsid w:val="17062EEA"/>
    <w:rsid w:val="182267CA"/>
    <w:rsid w:val="18A46E1B"/>
    <w:rsid w:val="199B6470"/>
    <w:rsid w:val="1A622AE9"/>
    <w:rsid w:val="1A8C739D"/>
    <w:rsid w:val="1B72369B"/>
    <w:rsid w:val="1B842559"/>
    <w:rsid w:val="1C2516BD"/>
    <w:rsid w:val="1E5209CD"/>
    <w:rsid w:val="1E645BF0"/>
    <w:rsid w:val="1EB9047B"/>
    <w:rsid w:val="1F3F651D"/>
    <w:rsid w:val="1FFE35CC"/>
    <w:rsid w:val="200C07F7"/>
    <w:rsid w:val="20897E6F"/>
    <w:rsid w:val="20BD71EB"/>
    <w:rsid w:val="20BE2B76"/>
    <w:rsid w:val="20CC0EE2"/>
    <w:rsid w:val="21C04BDE"/>
    <w:rsid w:val="21C24B9B"/>
    <w:rsid w:val="21CB236C"/>
    <w:rsid w:val="22E43154"/>
    <w:rsid w:val="2489657E"/>
    <w:rsid w:val="24B27142"/>
    <w:rsid w:val="251A5E6D"/>
    <w:rsid w:val="26F9200B"/>
    <w:rsid w:val="270A498F"/>
    <w:rsid w:val="278F5BF6"/>
    <w:rsid w:val="27B4797D"/>
    <w:rsid w:val="2859111F"/>
    <w:rsid w:val="28E16914"/>
    <w:rsid w:val="29BE15E9"/>
    <w:rsid w:val="2A423861"/>
    <w:rsid w:val="2A5C5AFE"/>
    <w:rsid w:val="2A720D08"/>
    <w:rsid w:val="2B2524AF"/>
    <w:rsid w:val="2B312C8E"/>
    <w:rsid w:val="2C622E1D"/>
    <w:rsid w:val="2C7B02A7"/>
    <w:rsid w:val="2C8E7905"/>
    <w:rsid w:val="2CD53B9A"/>
    <w:rsid w:val="2CD77367"/>
    <w:rsid w:val="2D2626A0"/>
    <w:rsid w:val="2EF7039C"/>
    <w:rsid w:val="2F2D6FB5"/>
    <w:rsid w:val="2F6B4AD8"/>
    <w:rsid w:val="30797214"/>
    <w:rsid w:val="30EA07CC"/>
    <w:rsid w:val="313E5C07"/>
    <w:rsid w:val="31903FB7"/>
    <w:rsid w:val="31C0661C"/>
    <w:rsid w:val="325524D0"/>
    <w:rsid w:val="325A0517"/>
    <w:rsid w:val="32EB188E"/>
    <w:rsid w:val="33A05842"/>
    <w:rsid w:val="33B80305"/>
    <w:rsid w:val="33E62FE3"/>
    <w:rsid w:val="3442486C"/>
    <w:rsid w:val="34D423BC"/>
    <w:rsid w:val="350E5A19"/>
    <w:rsid w:val="35130D79"/>
    <w:rsid w:val="35284C04"/>
    <w:rsid w:val="35523A2F"/>
    <w:rsid w:val="35734034"/>
    <w:rsid w:val="36FA437E"/>
    <w:rsid w:val="3783091D"/>
    <w:rsid w:val="37A7315E"/>
    <w:rsid w:val="3885411B"/>
    <w:rsid w:val="38F44DFD"/>
    <w:rsid w:val="39273424"/>
    <w:rsid w:val="3A733271"/>
    <w:rsid w:val="3AC73557"/>
    <w:rsid w:val="3AE8373F"/>
    <w:rsid w:val="3AF712CC"/>
    <w:rsid w:val="3B170BE2"/>
    <w:rsid w:val="3B66696F"/>
    <w:rsid w:val="3B835876"/>
    <w:rsid w:val="3BCD47A7"/>
    <w:rsid w:val="3BFA4E20"/>
    <w:rsid w:val="3C402568"/>
    <w:rsid w:val="3E526AD0"/>
    <w:rsid w:val="41517290"/>
    <w:rsid w:val="41BA2786"/>
    <w:rsid w:val="42861B49"/>
    <w:rsid w:val="43821181"/>
    <w:rsid w:val="43F54889"/>
    <w:rsid w:val="4414020A"/>
    <w:rsid w:val="44B50487"/>
    <w:rsid w:val="44EE629A"/>
    <w:rsid w:val="4517434D"/>
    <w:rsid w:val="45290F66"/>
    <w:rsid w:val="45413DFD"/>
    <w:rsid w:val="470D5B9F"/>
    <w:rsid w:val="47E524E0"/>
    <w:rsid w:val="4860600B"/>
    <w:rsid w:val="48B122FB"/>
    <w:rsid w:val="49624874"/>
    <w:rsid w:val="496C7652"/>
    <w:rsid w:val="4A0842C1"/>
    <w:rsid w:val="4AD72DEE"/>
    <w:rsid w:val="4AE239CC"/>
    <w:rsid w:val="4B7A2929"/>
    <w:rsid w:val="4BB16EEF"/>
    <w:rsid w:val="4D761E2D"/>
    <w:rsid w:val="4DBA440F"/>
    <w:rsid w:val="4E1C41B2"/>
    <w:rsid w:val="4F92297F"/>
    <w:rsid w:val="4FE9329C"/>
    <w:rsid w:val="50255A1F"/>
    <w:rsid w:val="50393156"/>
    <w:rsid w:val="51267CC7"/>
    <w:rsid w:val="513545B7"/>
    <w:rsid w:val="51C21231"/>
    <w:rsid w:val="523A7692"/>
    <w:rsid w:val="5295690B"/>
    <w:rsid w:val="52DB4C0C"/>
    <w:rsid w:val="530C1269"/>
    <w:rsid w:val="53114AD1"/>
    <w:rsid w:val="534A4FB9"/>
    <w:rsid w:val="536B2F01"/>
    <w:rsid w:val="53C52D94"/>
    <w:rsid w:val="54353276"/>
    <w:rsid w:val="548062A4"/>
    <w:rsid w:val="553706EB"/>
    <w:rsid w:val="5562296B"/>
    <w:rsid w:val="55C776C9"/>
    <w:rsid w:val="562F41C2"/>
    <w:rsid w:val="56B15C42"/>
    <w:rsid w:val="570606C5"/>
    <w:rsid w:val="591B0458"/>
    <w:rsid w:val="5949510A"/>
    <w:rsid w:val="59495621"/>
    <w:rsid w:val="599124C8"/>
    <w:rsid w:val="5B61236E"/>
    <w:rsid w:val="5BEF3A8F"/>
    <w:rsid w:val="5C0963CE"/>
    <w:rsid w:val="5C261656"/>
    <w:rsid w:val="5C85148E"/>
    <w:rsid w:val="5CEB6F53"/>
    <w:rsid w:val="5D221AE7"/>
    <w:rsid w:val="5DCB39AA"/>
    <w:rsid w:val="5DCC6423"/>
    <w:rsid w:val="5E0C782C"/>
    <w:rsid w:val="5E472FDC"/>
    <w:rsid w:val="5E510478"/>
    <w:rsid w:val="5E543AC4"/>
    <w:rsid w:val="5EEB03CB"/>
    <w:rsid w:val="5F0977F9"/>
    <w:rsid w:val="61E138C1"/>
    <w:rsid w:val="63D3192F"/>
    <w:rsid w:val="642A6415"/>
    <w:rsid w:val="646A0BE9"/>
    <w:rsid w:val="64A84C97"/>
    <w:rsid w:val="65077C97"/>
    <w:rsid w:val="65270184"/>
    <w:rsid w:val="65493C57"/>
    <w:rsid w:val="65736F26"/>
    <w:rsid w:val="65BF14FC"/>
    <w:rsid w:val="65DC06B2"/>
    <w:rsid w:val="66331F5B"/>
    <w:rsid w:val="67696E8F"/>
    <w:rsid w:val="67A506C3"/>
    <w:rsid w:val="67D27072"/>
    <w:rsid w:val="68FF2C52"/>
    <w:rsid w:val="6932738D"/>
    <w:rsid w:val="695D4175"/>
    <w:rsid w:val="69FA1037"/>
    <w:rsid w:val="6A123A14"/>
    <w:rsid w:val="6A334ED5"/>
    <w:rsid w:val="6A771286"/>
    <w:rsid w:val="6A94006A"/>
    <w:rsid w:val="6AA31459"/>
    <w:rsid w:val="6ACD604F"/>
    <w:rsid w:val="6B184A21"/>
    <w:rsid w:val="6C8F0A29"/>
    <w:rsid w:val="6CD17894"/>
    <w:rsid w:val="6D0914F3"/>
    <w:rsid w:val="6D565020"/>
    <w:rsid w:val="6D635AD2"/>
    <w:rsid w:val="6E20323A"/>
    <w:rsid w:val="6E71421E"/>
    <w:rsid w:val="6F401113"/>
    <w:rsid w:val="6F47651F"/>
    <w:rsid w:val="703674CE"/>
    <w:rsid w:val="70B623BC"/>
    <w:rsid w:val="712F0AD2"/>
    <w:rsid w:val="71B8286E"/>
    <w:rsid w:val="72B2653C"/>
    <w:rsid w:val="73946B2F"/>
    <w:rsid w:val="74576EE0"/>
    <w:rsid w:val="74B8340E"/>
    <w:rsid w:val="74BC1E14"/>
    <w:rsid w:val="77025C02"/>
    <w:rsid w:val="77A576CA"/>
    <w:rsid w:val="78903D77"/>
    <w:rsid w:val="789F5C2E"/>
    <w:rsid w:val="78BE62B2"/>
    <w:rsid w:val="793D02F4"/>
    <w:rsid w:val="79576B39"/>
    <w:rsid w:val="79E355ED"/>
    <w:rsid w:val="7A3309A2"/>
    <w:rsid w:val="7AD65B35"/>
    <w:rsid w:val="7B8A47A6"/>
    <w:rsid w:val="7BC95581"/>
    <w:rsid w:val="7BF15DB3"/>
    <w:rsid w:val="7C981F04"/>
    <w:rsid w:val="7DEA794F"/>
    <w:rsid w:val="7EBA5233"/>
    <w:rsid w:val="7EC21B12"/>
    <w:rsid w:val="7EEB157F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3043</Words>
  <Characters>3413</Characters>
  <Lines>1</Lines>
  <Paragraphs>1</Paragraphs>
  <TotalTime>85</TotalTime>
  <ScaleCrop>false</ScaleCrop>
  <LinksUpToDate>false</LinksUpToDate>
  <CharactersWithSpaces>3468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2023-12-11T07:38:00Z</dcterms:created>
  <dc:creator>国旗</dc:creator>
  <cp:lastModifiedBy>国旗</cp:lastModifiedBy>
  <dcterms:modified xsi:type="dcterms:W3CDTF">2025-01-20T00:48:35Z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477B2EAAE38648DF9DCF1DCB36432BA1_13</vt:lpwstr>
  </property>
  <property fmtid="{D5CDD505-2E9C-101B-9397-08002B2CF9AE}" pid="4" name="KSOTemplateDocerSaveRecord">
    <vt:lpwstr>eyJoZGlkIjoiZWFlNjQ3NDIwZDEwN2RkZjI5ZmVhOGI2NjVlYTBkMTciLCJ1c2VySWQiOiIxMzgyMTM1ODU2In0=</vt:lpwstr>
  </property>
</Properties>
</file>