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A2A8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distribute"/>
        <w:textAlignment w:val="baseline"/>
        <w:rPr>
          <w:rFonts w:hint="default" w:ascii="黑体" w:hAnsi="黑体" w:eastAsia="黑体" w:cs="黑体"/>
          <w:b/>
          <w:bCs/>
          <w:color w:val="FF0000"/>
          <w:sz w:val="48"/>
          <w:szCs w:val="48"/>
          <w:lang w:val="en-US" w:eastAsia="zh-CN"/>
        </w:rPr>
      </w:pPr>
      <w:r>
        <w:rPr>
          <w:rFonts w:ascii="黑体" w:hAnsi="宋体" w:eastAsia="黑体" w:cs="黑体"/>
          <w:b/>
          <w:bCs/>
          <w:snapToGrid w:val="0"/>
          <w:color w:val="FF0000"/>
          <w:kern w:val="0"/>
          <w:sz w:val="55"/>
          <w:szCs w:val="55"/>
          <w:lang w:val="en-US" w:eastAsia="zh-CN" w:bidi="ar"/>
        </w:rPr>
        <w:t>中国电子电路行业协</w:t>
      </w:r>
      <w:r>
        <w:rPr>
          <w:rFonts w:hint="eastAsia" w:ascii="黑体" w:hAnsi="宋体" w:eastAsia="黑体" w:cs="黑体"/>
          <w:b/>
          <w:bCs/>
          <w:snapToGrid w:val="0"/>
          <w:color w:val="FF0000"/>
          <w:kern w:val="0"/>
          <w:sz w:val="55"/>
          <w:szCs w:val="55"/>
          <w:lang w:val="en-US" w:eastAsia="zh-CN" w:bidi="ar"/>
        </w:rPr>
        <w:t>会</w:t>
      </w:r>
    </w:p>
    <w:p w14:paraId="213DAA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ascii="华文楷体" w:hAnsi="华文楷体" w:eastAsia="华文楷体" w:cs="华文楷体"/>
          <w:b/>
          <w:bCs/>
          <w:snapToGrid w:val="0"/>
          <w:color w:val="C00000"/>
          <w:kern w:val="0"/>
          <w:sz w:val="28"/>
          <w:szCs w:val="28"/>
          <w:lang w:val="en-US" w:eastAsia="zh-CN" w:bidi="ar"/>
        </w:rPr>
      </w:pPr>
    </w:p>
    <w:p w14:paraId="07C5E7F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color w:val="C00000"/>
          <w:lang w:val="en-US"/>
        </w:rPr>
      </w:pPr>
      <w:r>
        <w:rPr>
          <w:rFonts w:hint="eastAsia" w:ascii="华文楷体" w:hAnsi="华文楷体" w:eastAsia="华文楷体" w:cs="华文楷体"/>
          <w:b/>
          <w:bCs/>
          <w:snapToGrid w:val="0"/>
          <w:color w:val="C00000"/>
          <w:kern w:val="0"/>
          <w:sz w:val="28"/>
          <w:szCs w:val="28"/>
          <w:lang w:val="en-US" w:eastAsia="zh-CN" w:bidi="ar"/>
        </w:rPr>
        <w:t>第79期</w:t>
      </w:r>
    </w:p>
    <w:p w14:paraId="2AF2445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sz w:val="21"/>
          <w:lang w:val="en-US"/>
        </w:rPr>
      </w:pPr>
      <w:r>
        <w:rPr>
          <w:rFonts w:ascii="华文楷体" w:hAnsi="华文楷体" w:eastAsia="华文楷体" w:cs="华文楷体"/>
          <w:b/>
          <w:bCs/>
          <w:snapToGrid w:val="0"/>
          <w:color w:val="000000"/>
          <w:kern w:val="0"/>
          <w:sz w:val="28"/>
          <w:szCs w:val="28"/>
          <w:u w:val="single" w:color="auto"/>
          <w:lang w:val="en-US" w:eastAsia="zh-CN" w:bidi="ar"/>
        </w:rPr>
        <w:t>信息部</w:t>
      </w:r>
      <w:r>
        <w:rPr>
          <w:rFonts w:hint="eastAsia" w:ascii="华文楷体" w:hAnsi="华文楷体" w:eastAsia="华文楷体" w:cs="华文楷体"/>
          <w:b/>
          <w:bCs/>
          <w:snapToGrid w:val="0"/>
          <w:color w:val="000000"/>
          <w:kern w:val="0"/>
          <w:sz w:val="28"/>
          <w:szCs w:val="28"/>
          <w:u w:val="single" w:color="auto"/>
          <w:lang w:val="en-US" w:eastAsia="zh-CN" w:bidi="ar"/>
        </w:rPr>
        <w:t xml:space="preserve">                                           2024年12月</w:t>
      </w:r>
    </w:p>
    <w:p w14:paraId="1A7B2DB4">
      <w:pPr>
        <w:pStyle w:val="3"/>
        <w:numPr>
          <w:ilvl w:val="0"/>
          <w:numId w:val="0"/>
        </w:numPr>
        <w:bidi w:val="0"/>
        <w:rPr>
          <w:rFonts w:hint="default"/>
          <w:highlight w:val="none"/>
          <w:lang w:val="en-US" w:eastAsia="zh-CN"/>
        </w:rPr>
      </w:pPr>
      <w:r>
        <w:rPr>
          <w:rFonts w:hint="eastAsia"/>
          <w:highlight w:val="none"/>
          <w:lang w:val="en-US" w:eastAsia="zh-CN"/>
        </w:rPr>
        <w:t>每周资讯|</w:t>
      </w:r>
      <w:r>
        <w:rPr>
          <w:rFonts w:hint="eastAsia" w:ascii="Arial" w:hAnsi="Arial" w:eastAsia="黑体" w:cstheme="minorBidi"/>
          <w:b/>
          <w:kern w:val="2"/>
          <w:sz w:val="32"/>
          <w:szCs w:val="24"/>
          <w:highlight w:val="none"/>
          <w:lang w:val="en-US" w:eastAsia="zh-CN" w:bidi="ar-SA"/>
        </w:rPr>
        <w:t>中方反对美对中国芯片产业相关政策发起301调查</w:t>
      </w:r>
      <w:r>
        <w:rPr>
          <w:rFonts w:hint="eastAsia" w:cstheme="minorBidi"/>
          <w:b/>
          <w:kern w:val="2"/>
          <w:sz w:val="32"/>
          <w:szCs w:val="24"/>
          <w:highlight w:val="none"/>
          <w:lang w:val="en-US" w:eastAsia="zh-CN" w:bidi="ar-SA"/>
        </w:rPr>
        <w:t>；深南电路封装基板FC-BGA技术实现部分突破</w:t>
      </w:r>
      <w:r>
        <w:rPr>
          <w:rFonts w:hint="eastAsia"/>
          <w:highlight w:val="none"/>
          <w:lang w:val="en-US" w:eastAsia="zh-CN"/>
        </w:rPr>
        <w:t>..</w:t>
      </w:r>
    </w:p>
    <w:p w14:paraId="66DAB048">
      <w:pPr>
        <w:pStyle w:val="3"/>
        <w:numPr>
          <w:ilvl w:val="0"/>
          <w:numId w:val="1"/>
        </w:numPr>
        <w:bidi w:val="0"/>
        <w:rPr>
          <w:rFonts w:hint="eastAsia"/>
          <w:lang w:val="en-US" w:eastAsia="zh-CN"/>
        </w:rPr>
      </w:pPr>
      <w:r>
        <w:rPr>
          <w:rFonts w:hint="eastAsia"/>
          <w:lang w:val="en-US" w:eastAsia="zh-CN"/>
        </w:rPr>
        <w:t>行业</w:t>
      </w:r>
    </w:p>
    <w:p w14:paraId="30FBD19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工信部部长金壮龙：优化制造业创新中心和中试验证平台建设布局</w:t>
      </w:r>
    </w:p>
    <w:p w14:paraId="549B0797">
      <w:pPr>
        <w:ind w:firstLine="640" w:firstLineChars="200"/>
        <w:rPr>
          <w:rFonts w:hint="eastAsia"/>
          <w:lang w:val="en-US" w:eastAsia="zh-CN"/>
        </w:rPr>
      </w:pPr>
      <w:r>
        <w:rPr>
          <w:rFonts w:hint="eastAsia"/>
          <w:lang w:val="en-US" w:eastAsia="zh-CN"/>
        </w:rPr>
        <w:t>12月24日，工业和信息化部党组书记、部长金壮龙到部产业发展促进中心调研。金壮龙指出，要大力提升产业科技创新能力，优化制造业创新中心和中试验证平台建设布局，实施标准提升引领传统产业优化升级行动，开展制造业新技术新产品新场景大规模应用示范，完善科技服务业发展政策，加快建设以先进制造业为骨干的现代化产业体系。(第一财经)</w:t>
      </w:r>
    </w:p>
    <w:p w14:paraId="71E06EDD">
      <w:pPr>
        <w:jc w:val="center"/>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工信部加强新能源汽车废旧动力电池综合利用管理</w:t>
      </w:r>
    </w:p>
    <w:p w14:paraId="4C5F6ADC">
      <w:pPr>
        <w:ind w:firstLine="640" w:firstLineChars="200"/>
        <w:rPr>
          <w:rFonts w:hint="eastAsia"/>
          <w:lang w:val="en-US" w:eastAsia="zh-CN"/>
        </w:rPr>
      </w:pPr>
      <w:r>
        <w:rPr>
          <w:rFonts w:hint="eastAsia"/>
          <w:lang w:val="en-US" w:eastAsia="zh-CN"/>
        </w:rPr>
        <w:t>12月24日，新京报贝壳财经记者从工业和信息化部（简称“工信部”）官网获悉，工信部发布《新能源汽车废旧动力电池综合利用行业规范条件（2024年本）》，提到积极开展针对正负极材料、隔膜、电解液等再生利用技术、设备、工艺的研发和应用，努力提高废旧动力电池再生利用水平，通过冶炼或材料修复等方式保障主要有价金属得到有效提取回收。(贝壳财经)</w:t>
      </w:r>
    </w:p>
    <w:p w14:paraId="7EB6EFB7">
      <w:pPr>
        <w:ind w:firstLine="640" w:firstLineChars="200"/>
        <w:rPr>
          <w:rFonts w:hint="eastAsia"/>
          <w:lang w:val="en-US" w:eastAsia="zh-CN"/>
        </w:rPr>
      </w:pPr>
    </w:p>
    <w:p w14:paraId="1795AA58">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中方反对美对中国芯片产业相关政策发起301调查，敦促美方立即停止错误做法</w:t>
      </w:r>
    </w:p>
    <w:p w14:paraId="3555DF1A">
      <w:pPr>
        <w:ind w:firstLine="640" w:firstLineChars="200"/>
        <w:rPr>
          <w:rFonts w:hint="eastAsia"/>
          <w:highlight w:val="none"/>
          <w:lang w:val="en-US" w:eastAsia="zh-CN"/>
        </w:rPr>
      </w:pPr>
      <w:r>
        <w:rPr>
          <w:rFonts w:hint="eastAsia"/>
          <w:highlight w:val="none"/>
          <w:lang w:val="en-US" w:eastAsia="zh-CN"/>
        </w:rPr>
        <w:t>12月24日，据商务部网站消息，商务部新闻发言人23日就美对中国芯片产业相关政策发起301调查发表谈话。发言人表示，美国时间12月23日，美贸易代表办公室宣布针对中国芯片产业相关政策发起301调查。中方对此强烈不满，坚决反对。发言人指出，美301调查具有明显的单边、保护主义色彩。此前美对华301关税已被世贸组织裁定违反世贸规则，受到众多世贸成员的反对，中方已多次向美方提出严正交涉。美方出于对华打压及国内政治需要，对中国芯片产业相关政策发起新的301调查，将扰乱和扭曲全球芯片产业链供应链，也会损害美国企业和消费者的利益，是一错再错。（中国网）</w:t>
      </w:r>
    </w:p>
    <w:p w14:paraId="6FD22D13">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工信部等三部门联合印发《制造业企业数字化转型实施指南》</w:t>
      </w:r>
    </w:p>
    <w:p w14:paraId="36C6F2A7">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12月24日，为深入贯彻习近平总书记关于信息化和工业化深度融合的重要指示批示精神，落实党中央、国务院决策部署，工业和信息化部、国务院国有资产监督管理委员会、中华全国工商业联合会等三部门近日联合印发《制造业企业数字化转型实施指南》（以下简称《指南》），加快新一代信息技术全方位全链条普及应用，加速产业模式和企业组织形态变革，系统提升企业数字化水平，不断培育新质生产力发展新动能。制造业数字化转型是当前阶段推进信息化和工业化深度融合的主要任务，企业是制造业数字化转型的主体。《指南》主要内容包括基本原则、分步实施、场景突破、分类推进、政策保障五个部分，涵盖企业实施数字化转型升级的目标导向、推进方法、关键切入口以及路径选择等一系列重要内容，为制造业企业运用数字技术转型升级提供通用参考。（中国</w:t>
      </w:r>
      <w:r>
        <w:rPr>
          <w:rFonts w:hint="eastAsia"/>
          <w:highlight w:val="none"/>
          <w:lang w:val="en-US" w:eastAsia="zh-CN"/>
        </w:rPr>
        <w:t>新闻</w:t>
      </w:r>
      <w:r>
        <w:rPr>
          <w:rFonts w:hint="eastAsia" w:ascii="Times New Roman" w:eastAsia="仿宋"/>
          <w:highlight w:val="none"/>
          <w:lang w:val="en-US" w:eastAsia="zh-CN"/>
        </w:rPr>
        <w:t>网）</w:t>
      </w:r>
    </w:p>
    <w:p w14:paraId="11C0FEDE">
      <w:pPr>
        <w:rPr>
          <w:rFonts w:hint="eastAsia" w:ascii="Times New Roman" w:eastAsia="仿宋"/>
          <w:highlight w:val="none"/>
          <w:lang w:val="en-US" w:eastAsia="zh-CN"/>
        </w:rPr>
      </w:pPr>
    </w:p>
    <w:p w14:paraId="27453A02">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越南对华风塔及风电设备部件作出反倾销终裁</w:t>
      </w:r>
    </w:p>
    <w:p w14:paraId="75371517">
      <w:pPr>
        <w:ind w:firstLine="640" w:firstLineChars="200"/>
        <w:rPr>
          <w:rFonts w:hint="eastAsia"/>
          <w:highlight w:val="none"/>
          <w:lang w:val="en-US" w:eastAsia="zh-CN"/>
        </w:rPr>
      </w:pPr>
      <w:r>
        <w:rPr>
          <w:rFonts w:hint="eastAsia" w:ascii="Times New Roman" w:eastAsia="仿宋"/>
          <w:highlight w:val="none"/>
          <w:lang w:val="en-US" w:eastAsia="zh-CN"/>
        </w:rPr>
        <w:t>12月2</w:t>
      </w:r>
      <w:r>
        <w:rPr>
          <w:rFonts w:hint="eastAsia"/>
          <w:highlight w:val="none"/>
          <w:lang w:val="en-US" w:eastAsia="zh-CN"/>
        </w:rPr>
        <w:t>5</w:t>
      </w:r>
      <w:r>
        <w:rPr>
          <w:rFonts w:hint="eastAsia" w:ascii="Times New Roman" w:eastAsia="仿宋"/>
          <w:highlight w:val="none"/>
          <w:lang w:val="en-US" w:eastAsia="zh-CN"/>
        </w:rPr>
        <w:t>日，越南工贸部发布2024年12月24日签署的第3453/QD-BCT号公告，对原产于中国的风塔及风电设备部件作出反倾销肯定性终裁，决定对中国涉案产品的普遍生产商/出口商征收97%的反倾销税；与此同时，裁定江苏振江新能源装备股份有限公司（Jiangsu Zhenjiang New Energy Equipment Co., Ltd.）倾销幅度为0，决定不对该企业征收反倾销税。风塔的越南税号为7308.20.11和7308.20.19，风力发电设备部件的越南税号为8502.31.10和8502.31.20。措施自公告签署之日起15日后生效，有效期为五年。2023年9月25日，越南工贸部对原产于中国的风电塔及风力发电设备部件启动反倾销调查。（中国</w:t>
      </w:r>
      <w:r>
        <w:rPr>
          <w:rFonts w:hint="eastAsia"/>
          <w:highlight w:val="none"/>
          <w:lang w:val="en-US" w:eastAsia="zh-CN"/>
        </w:rPr>
        <w:t>贸易救济信息网</w:t>
      </w:r>
      <w:bookmarkStart w:id="0" w:name="_GoBack"/>
      <w:bookmarkEnd w:id="0"/>
      <w:r>
        <w:rPr>
          <w:rFonts w:hint="eastAsia" w:ascii="Times New Roman" w:eastAsia="仿宋"/>
          <w:highlight w:val="none"/>
          <w:lang w:val="en-US" w:eastAsia="zh-CN"/>
        </w:rPr>
        <w:t>）</w:t>
      </w:r>
    </w:p>
    <w:p w14:paraId="532F3F7E">
      <w:pPr>
        <w:ind w:firstLine="640" w:firstLineChars="200"/>
        <w:rPr>
          <w:rFonts w:hint="eastAsia"/>
          <w:highlight w:val="none"/>
          <w:lang w:val="en-US" w:eastAsia="zh-CN"/>
        </w:rPr>
      </w:pPr>
    </w:p>
    <w:p w14:paraId="667BABDA">
      <w:pPr>
        <w:pStyle w:val="3"/>
        <w:numPr>
          <w:ilvl w:val="0"/>
          <w:numId w:val="1"/>
        </w:numPr>
        <w:bidi w:val="0"/>
        <w:ind w:left="0" w:leftChars="0" w:firstLine="0" w:firstLineChars="0"/>
        <w:rPr>
          <w:rFonts w:hint="eastAsia"/>
          <w:lang w:val="en-US" w:eastAsia="zh-CN"/>
        </w:rPr>
      </w:pPr>
      <w:r>
        <w:rPr>
          <w:rFonts w:hint="eastAsia"/>
          <w:lang w:val="en-US" w:eastAsia="zh-CN"/>
        </w:rPr>
        <w:t>市场</w:t>
      </w:r>
    </w:p>
    <w:p w14:paraId="5EA2160D">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乘联分会：11月公桩总量达346万个 较上月增长6.9万个</w:t>
      </w:r>
    </w:p>
    <w:p w14:paraId="51C85F89">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Times New Roman" w:eastAsia="仿宋"/>
          <w:lang w:val="en-US" w:eastAsia="zh-CN"/>
        </w:rPr>
      </w:pPr>
      <w:r>
        <w:rPr>
          <w:rFonts w:hint="eastAsia" w:ascii="Times New Roman" w:eastAsia="仿宋"/>
          <w:lang w:val="en-US" w:eastAsia="zh-CN"/>
        </w:rPr>
        <w:t>12月</w:t>
      </w:r>
      <w:r>
        <w:rPr>
          <w:rFonts w:hint="eastAsia"/>
          <w:lang w:val="en-US" w:eastAsia="zh-CN"/>
        </w:rPr>
        <w:t>21</w:t>
      </w:r>
      <w:r>
        <w:rPr>
          <w:rFonts w:hint="eastAsia" w:ascii="Times New Roman" w:eastAsia="仿宋"/>
          <w:lang w:val="en-US" w:eastAsia="zh-CN"/>
        </w:rPr>
        <w:t>日，</w:t>
      </w:r>
      <w:r>
        <w:rPr>
          <w:rFonts w:hint="eastAsia"/>
          <w:lang w:val="en-US" w:eastAsia="zh-CN"/>
        </w:rPr>
        <w:t>据</w:t>
      </w:r>
      <w:r>
        <w:rPr>
          <w:rFonts w:hint="eastAsia" w:ascii="Times New Roman" w:eastAsia="仿宋"/>
          <w:lang w:val="en-US" w:eastAsia="zh-CN"/>
        </w:rPr>
        <w:t>乘联分会称，根据乘联会整理的中国充电联盟的数据分析，2024年11月的公桩总量达到346万个，公桩数量较上月增长6.9万个，慢于去年同期31%；2024年公桩年累增量73.4万个，同比去年同期增速下降11%。随车私桩目前有889万个，11月较上月增长39.8万个，增速91%；2024年私桩年累增量302万个，同比去年同期增速36%。公桩单桩月均充电1503度，较去年11月1348度增长较好。(</w:t>
      </w:r>
      <w:r>
        <w:rPr>
          <w:rFonts w:hint="eastAsia"/>
          <w:lang w:val="en-US" w:eastAsia="zh-CN"/>
        </w:rPr>
        <w:t>金融界</w:t>
      </w:r>
      <w:r>
        <w:rPr>
          <w:rFonts w:hint="eastAsia" w:ascii="Times New Roman" w:eastAsia="仿宋"/>
          <w:lang w:val="en-US" w:eastAsia="zh-CN"/>
        </w:rPr>
        <w:t>)</w:t>
      </w:r>
    </w:p>
    <w:p w14:paraId="3B851372">
      <w:pPr>
        <w:keepNext w:val="0"/>
        <w:keepLines w:val="0"/>
        <w:pageBreakBefore w:val="0"/>
        <w:widowControl w:val="0"/>
        <w:kinsoku/>
        <w:wordWrap w:val="0"/>
        <w:overflowPunct/>
        <w:topLinePunct w:val="0"/>
        <w:autoSpaceDE/>
        <w:autoSpaceDN/>
        <w:bidi w:val="0"/>
        <w:adjustRightInd/>
        <w:snapToGrid/>
        <w:textAlignment w:val="auto"/>
        <w:rPr>
          <w:rFonts w:hint="eastAsia" w:ascii="Times New Roman" w:eastAsia="仿宋"/>
          <w:lang w:val="en-US" w:eastAsia="zh-CN"/>
        </w:rPr>
      </w:pPr>
    </w:p>
    <w:p w14:paraId="176A97DE">
      <w:pPr>
        <w:pStyle w:val="3"/>
        <w:bidi w:val="0"/>
        <w:jc w:val="center"/>
        <w:rPr>
          <w:rFonts w:hint="default"/>
          <w:lang w:val="en-US" w:eastAsia="zh-CN"/>
        </w:rPr>
      </w:pPr>
      <w:r>
        <w:rPr>
          <w:rFonts w:hint="eastAsia"/>
          <w:lang w:val="en-US" w:eastAsia="zh-CN"/>
        </w:rPr>
        <w:t>国家能源局：截至11月底全国发电装机容量同比增长14.4%</w:t>
      </w:r>
    </w:p>
    <w:p w14:paraId="4420A97B">
      <w:pPr>
        <w:ind w:firstLine="640" w:firstLineChars="200"/>
        <w:rPr>
          <w:rFonts w:hint="eastAsia"/>
          <w:lang w:val="en-US" w:eastAsia="zh-CN"/>
        </w:rPr>
      </w:pPr>
      <w:r>
        <w:rPr>
          <w:rFonts w:hint="eastAsia"/>
          <w:lang w:val="en-US" w:eastAsia="zh-CN"/>
        </w:rPr>
        <w:t>12月20日，国家能源局发布1—11月份全国电力工业统计数据。截至11月底，全国累计发电装机容量约32.3亿千瓦，同比增长14.4%。其中，太阳能发电装机容量约8.2亿千瓦，同比增长46.7%；风电装机容量约4.9亿千瓦，同比增长19.2%。1—11月份，全国发电设备累计平均利用3147小时，比上年同期减少151小时；全国主要发电企业电源工程完成投资8665亿元，同比增长12.0%；电网工程完成投资5290亿元，同比增长18.7%。(证券时报)</w:t>
      </w:r>
    </w:p>
    <w:p w14:paraId="3CF738CA">
      <w:pPr>
        <w:rPr>
          <w:rFonts w:hint="eastAsia"/>
          <w:lang w:val="en-US" w:eastAsia="zh-CN"/>
        </w:rPr>
      </w:pPr>
    </w:p>
    <w:p w14:paraId="540DE980">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韩政府提出对比亚迪发起反补贴税调查可能性</w:t>
      </w:r>
    </w:p>
    <w:p w14:paraId="2467AF83">
      <w:pPr>
        <w:ind w:firstLine="640" w:firstLineChars="200"/>
        <w:rPr>
          <w:rFonts w:hint="eastAsia"/>
          <w:highlight w:val="none"/>
          <w:lang w:val="en-US" w:eastAsia="zh-CN"/>
        </w:rPr>
      </w:pPr>
      <w:r>
        <w:rPr>
          <w:rFonts w:hint="eastAsia" w:ascii="Times New Roman" w:eastAsia="仿宋"/>
          <w:highlight w:val="none"/>
          <w:lang w:val="en-US" w:eastAsia="zh-CN"/>
        </w:rPr>
        <w:t xml:space="preserve"> </w:t>
      </w:r>
      <w:r>
        <w:rPr>
          <w:rFonts w:hint="eastAsia"/>
          <w:highlight w:val="none"/>
          <w:lang w:val="en-US" w:eastAsia="zh-CN"/>
        </w:rPr>
        <w:t>12月20日</w:t>
      </w:r>
      <w:r>
        <w:rPr>
          <w:rFonts w:hint="eastAsia" w:ascii="Times New Roman" w:eastAsia="仿宋"/>
          <w:highlight w:val="none"/>
          <w:lang w:val="en-US" w:eastAsia="zh-CN"/>
        </w:rPr>
        <w:t>，我们从相关媒体获悉，韩国政府表示，借鉴欧盟经验，可研究对原产于中国的电动汽车征收反补贴税的方案。据该媒体报道，韩国产业通商部人士18日在中央政府世宗办公大楼接受媒体采访时表示，若国内企业等利害关系方提起反补贴调查申请，将根据补贴协议和《关税法》开展公正透明的调查。当被问及在比亚迪即将进军韩国乘用车市场之际，政府是否研讨征税问题时，该人士说，欧盟对(中国)电动汽车征收税率超过10%的最终反补贴税，韩国《关税法》中也有征收反补贴税的条款。</w:t>
      </w:r>
      <w:r>
        <w:rPr>
          <w:rFonts w:hint="eastAsia"/>
          <w:highlight w:val="none"/>
          <w:lang w:val="en-US" w:eastAsia="zh-CN"/>
        </w:rPr>
        <w:t>（易车讯）</w:t>
      </w:r>
    </w:p>
    <w:p w14:paraId="019BD5DC">
      <w:pPr>
        <w:pStyle w:val="3"/>
        <w:numPr>
          <w:ilvl w:val="0"/>
          <w:numId w:val="1"/>
        </w:numPr>
        <w:bidi w:val="0"/>
        <w:ind w:left="0" w:leftChars="0" w:firstLine="0" w:firstLineChars="0"/>
        <w:rPr>
          <w:rFonts w:hint="eastAsia"/>
          <w:lang w:val="en-US" w:eastAsia="zh-CN"/>
        </w:rPr>
      </w:pPr>
      <w:r>
        <w:rPr>
          <w:rFonts w:hint="eastAsia"/>
          <w:lang w:val="en-US" w:eastAsia="zh-CN"/>
        </w:rPr>
        <w:t>企业</w:t>
      </w:r>
    </w:p>
    <w:p w14:paraId="44D6FA0F">
      <w:pPr>
        <w:pStyle w:val="3"/>
        <w:bidi w:val="0"/>
        <w:jc w:val="center"/>
        <w:rPr>
          <w:rFonts w:hint="eastAsia"/>
          <w:lang w:val="en-US" w:eastAsia="zh-CN"/>
        </w:rPr>
      </w:pPr>
      <w:r>
        <w:rPr>
          <w:rFonts w:hint="eastAsia"/>
          <w:lang w:val="en-US" w:eastAsia="zh-CN"/>
        </w:rPr>
        <w:t>特斯拉上海储能超级工厂或于年底前完工</w:t>
      </w:r>
    </w:p>
    <w:p w14:paraId="28337CD5">
      <w:pPr>
        <w:ind w:firstLine="640" w:firstLineChars="200"/>
        <w:rPr>
          <w:rFonts w:hint="eastAsia"/>
          <w:lang w:val="en-US" w:eastAsia="zh-CN"/>
        </w:rPr>
      </w:pPr>
      <w:r>
        <w:rPr>
          <w:rFonts w:hint="eastAsia"/>
          <w:lang w:val="en-US" w:eastAsia="zh-CN"/>
        </w:rPr>
        <w:t>12月24日，《证券日报》记者从特斯拉获悉，特斯拉上海储能超级工厂完工在即，预计在今年年底前建设完毕，有望突破其整车超级工厂建设速度，仅7个月就实现从动工到完工的全过程。今年5月23日，特斯拉储能超级工厂在上海临港开工。开工仪式后，上海临港经济发展（集团）有限公司还与特斯拉完成了中国首批超大型电化学商用储能系统Megapack的签约。（证券日报）</w:t>
      </w:r>
    </w:p>
    <w:p w14:paraId="2AC565D5">
      <w:pPr>
        <w:pStyle w:val="3"/>
        <w:bidi w:val="0"/>
        <w:jc w:val="center"/>
        <w:rPr>
          <w:rFonts w:hint="eastAsia"/>
          <w:lang w:val="en-US" w:eastAsia="zh-CN"/>
        </w:rPr>
      </w:pPr>
      <w:r>
        <w:rPr>
          <w:rFonts w:hint="eastAsia"/>
          <w:lang w:val="en-US" w:eastAsia="zh-CN"/>
        </w:rPr>
        <w:t>新思科技收购Ansys的交易据悉有望获得欧盟批准</w:t>
      </w:r>
    </w:p>
    <w:p w14:paraId="2EDE3237">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lang w:val="en-US" w:eastAsia="zh-CN"/>
        </w:rPr>
      </w:pPr>
      <w:r>
        <w:rPr>
          <w:rFonts w:hint="eastAsia"/>
          <w:lang w:val="en-US" w:eastAsia="zh-CN"/>
        </w:rPr>
        <w:t>12月24日，美国芯片设计软件公司Synopsys以350亿美元收购Ansys的交易将获得欧盟有条件的反垄断批准。这是自一年前博通(AVGO.O)以690亿美元收购软件制造商威睿以来最大的科技业并购交易，也是欧盟新任反垄断主管里贝拉上任后第一宗大型科技并购案。其他消息人士表示，为了消除欧盟对竞争的担忧，Synopsys本月提出出售旗下光学设计工具制造商Optical Solutions Group以及Ansys PowerArtist。欧盟执委会计划于1月10日结束对这项交易的初步审查。（证券日报）</w:t>
      </w:r>
    </w:p>
    <w:p w14:paraId="537B45E8">
      <w:pPr>
        <w:jc w:val="center"/>
        <w:rPr>
          <w:rFonts w:hint="default" w:ascii="黑体" w:hAnsi="黑体" w:eastAsia="黑体" w:cs="黑体"/>
          <w:b/>
          <w:bCs/>
          <w:lang w:val="en-US" w:eastAsia="zh-CN"/>
        </w:rPr>
      </w:pPr>
    </w:p>
    <w:p w14:paraId="785274FB">
      <w:pPr>
        <w:jc w:val="center"/>
        <w:rPr>
          <w:rFonts w:hint="default" w:ascii="黑体" w:hAnsi="黑体" w:eastAsia="黑体" w:cs="黑体"/>
          <w:b/>
          <w:bCs/>
          <w:lang w:val="en-US" w:eastAsia="zh-CN"/>
        </w:rPr>
      </w:pPr>
      <w:r>
        <w:rPr>
          <w:rFonts w:hint="default" w:ascii="黑体" w:hAnsi="黑体" w:eastAsia="黑体" w:cs="黑体"/>
          <w:b/>
          <w:bCs/>
          <w:lang w:val="en-US" w:eastAsia="zh-CN"/>
        </w:rPr>
        <w:t>骏亚科技：关于募投项目延期的公告</w:t>
      </w:r>
    </w:p>
    <w:p w14:paraId="2232F585">
      <w:pPr>
        <w:ind w:firstLine="640" w:firstLineChars="200"/>
        <w:rPr>
          <w:rFonts w:hint="default"/>
          <w:lang w:val="en-US" w:eastAsia="zh-CN"/>
        </w:rPr>
      </w:pPr>
      <w:r>
        <w:rPr>
          <w:rFonts w:hint="eastAsia"/>
          <w:lang w:val="en-US" w:eastAsia="zh-CN"/>
        </w:rPr>
        <w:t>12月23日，骏亚科技（603386）发布关于募投项目延期的公告。公司决定将“年产80万平方米智能互联高精密线路板项目”的预计完成时间从2024年12月延期至2025年12月。此次延期是基于宏观经济和市场环境的变化，公司在实施项目过程中考虑到实际经营情况，选择减缓项目进度以提高募集资金使用效率。（证券日报）</w:t>
      </w:r>
    </w:p>
    <w:p w14:paraId="6D5FA081">
      <w:pPr>
        <w:jc w:val="center"/>
        <w:rPr>
          <w:rFonts w:hint="default" w:ascii="黑体" w:hAnsi="黑体" w:eastAsia="黑体" w:cs="黑体"/>
          <w:b/>
          <w:bCs/>
          <w:lang w:val="en-US" w:eastAsia="zh-CN"/>
        </w:rPr>
      </w:pPr>
      <w:r>
        <w:rPr>
          <w:rFonts w:hint="default" w:ascii="黑体" w:hAnsi="黑体" w:eastAsia="黑体" w:cs="黑体"/>
          <w:b/>
          <w:bCs/>
          <w:lang w:val="en-US" w:eastAsia="zh-CN"/>
        </w:rPr>
        <w:t>安靠科技获美国4.07亿美元芯片补贴</w:t>
      </w:r>
    </w:p>
    <w:p w14:paraId="162E8058">
      <w:pPr>
        <w:ind w:firstLine="640" w:firstLineChars="200"/>
        <w:rPr>
          <w:rFonts w:hint="default"/>
          <w:lang w:val="en-US" w:eastAsia="zh-CN"/>
        </w:rPr>
      </w:pPr>
      <w:r>
        <w:rPr>
          <w:rFonts w:hint="default"/>
          <w:lang w:val="en-US" w:eastAsia="zh-CN"/>
        </w:rPr>
        <w:t>12月20日，将根据芯片激励计划向安靠科技（Amkor）的子公司Amkor Technology Arizona提供高达4.07亿美元的直接资助。该资助将直接支持安靠科技投资约20亿美元在亚利桑那州建造一座封装和测试工厂，预计将创造约2000个制造工作岗位，在施工高峰期还将创造2000多个建筑工作岗位。（</w:t>
      </w:r>
      <w:r>
        <w:rPr>
          <w:rFonts w:hint="eastAsia"/>
          <w:lang w:val="en-US" w:eastAsia="zh-CN"/>
        </w:rPr>
        <w:t>界面新闻</w:t>
      </w:r>
      <w:r>
        <w:rPr>
          <w:rFonts w:hint="default"/>
          <w:lang w:val="en-US" w:eastAsia="zh-CN"/>
        </w:rPr>
        <w:t>）</w:t>
      </w:r>
    </w:p>
    <w:p w14:paraId="59EBB364">
      <w:pPr>
        <w:ind w:firstLine="640" w:firstLineChars="200"/>
        <w:rPr>
          <w:rFonts w:hint="default"/>
          <w:lang w:val="en-US" w:eastAsia="zh-CN"/>
        </w:rPr>
      </w:pPr>
    </w:p>
    <w:p w14:paraId="7F5AB916">
      <w:pPr>
        <w:jc w:val="center"/>
        <w:rPr>
          <w:rFonts w:hint="default" w:ascii="黑体" w:hAnsi="黑体" w:eastAsia="黑体" w:cs="黑体"/>
          <w:b/>
          <w:bCs/>
          <w:lang w:val="en-US" w:eastAsia="zh-CN"/>
        </w:rPr>
      </w:pPr>
      <w:r>
        <w:rPr>
          <w:rFonts w:hint="default" w:ascii="黑体" w:hAnsi="黑体" w:eastAsia="黑体" w:cs="黑体"/>
          <w:b/>
          <w:bCs/>
          <w:lang w:val="en-US" w:eastAsia="zh-CN"/>
        </w:rPr>
        <w:t>OpenAI推出o3模型系列：AGI评测最佳成绩达到惊人的87.5%，人类水平的门槛为85%</w:t>
      </w:r>
    </w:p>
    <w:p w14:paraId="49CCFD90">
      <w:pPr>
        <w:ind w:firstLine="640" w:firstLineChars="200"/>
        <w:rPr>
          <w:rFonts w:hint="eastAsia"/>
          <w:lang w:val="en-US" w:eastAsia="zh-CN"/>
        </w:rPr>
      </w:pPr>
      <w:r>
        <w:rPr>
          <w:rFonts w:hint="default"/>
          <w:lang w:val="en-US" w:eastAsia="zh-CN"/>
        </w:rPr>
        <w:t>12月2</w:t>
      </w:r>
      <w:r>
        <w:rPr>
          <w:rFonts w:hint="eastAsia"/>
          <w:lang w:val="en-US" w:eastAsia="zh-CN"/>
        </w:rPr>
        <w:t>1</w:t>
      </w:r>
      <w:r>
        <w:rPr>
          <w:rFonts w:hint="default"/>
          <w:lang w:val="en-US" w:eastAsia="zh-CN"/>
        </w:rPr>
        <w:t>日，OpenAI在其为期12个工作日的线上新品发布活动最后一日宣布推出下一代模型o3及其精简版o3-mini。o3在多个方面显著超越了其前代o1，在软件工程、竞赛数学和掌握人类博士级别的自然科学知识能力等方面表现出色。尤其在ARC-AGI评估中，o3的成绩达到75.7%至87.5%，超过了人类水平的85%门槛。</w:t>
      </w:r>
      <w:r>
        <w:rPr>
          <w:rFonts w:hint="eastAsia"/>
          <w:lang w:val="en-US" w:eastAsia="zh-CN"/>
        </w:rPr>
        <w:t>（每日经济新闻）</w:t>
      </w:r>
    </w:p>
    <w:p w14:paraId="5E177192">
      <w:pPr>
        <w:ind w:firstLine="640" w:firstLineChars="200"/>
        <w:rPr>
          <w:rFonts w:hint="eastAsia"/>
          <w:lang w:val="en-US" w:eastAsia="zh-CN"/>
        </w:rPr>
      </w:pPr>
    </w:p>
    <w:p w14:paraId="4C61D86F">
      <w:pPr>
        <w:jc w:val="center"/>
        <w:rPr>
          <w:rFonts w:hint="default" w:ascii="黑体" w:hAnsi="黑体" w:eastAsia="黑体" w:cs="黑体"/>
          <w:b/>
          <w:bCs/>
          <w:lang w:val="en-US" w:eastAsia="zh-CN"/>
        </w:rPr>
      </w:pPr>
      <w:r>
        <w:rPr>
          <w:rFonts w:hint="default" w:ascii="黑体" w:hAnsi="黑体" w:eastAsia="黑体" w:cs="黑体"/>
          <w:b/>
          <w:bCs/>
          <w:lang w:val="en-US" w:eastAsia="zh-CN"/>
        </w:rPr>
        <w:t>超华科技信披违规被警示</w:t>
      </w:r>
    </w:p>
    <w:p w14:paraId="4D0C85ED">
      <w:pPr>
        <w:ind w:firstLine="640" w:firstLineChars="200"/>
        <w:rPr>
          <w:rFonts w:hint="eastAsia" w:ascii="Times New Roman" w:eastAsia="仿宋"/>
          <w:lang w:val="en-US" w:eastAsia="zh-CN"/>
        </w:rPr>
      </w:pPr>
      <w:r>
        <w:rPr>
          <w:rFonts w:hint="default"/>
          <w:lang w:val="en-US" w:eastAsia="zh-CN"/>
        </w:rPr>
        <w:t>12月</w:t>
      </w:r>
      <w:r>
        <w:rPr>
          <w:rFonts w:hint="eastAsia"/>
          <w:lang w:val="en-US" w:eastAsia="zh-CN"/>
        </w:rPr>
        <w:t>26</w:t>
      </w:r>
      <w:r>
        <w:rPr>
          <w:rFonts w:hint="default"/>
          <w:lang w:val="en-US" w:eastAsia="zh-CN"/>
        </w:rPr>
        <w:t>日，广东超华科技股份有限公司于2024年12月2日发布关于收到广东证监局对公司及相关责任人采取出具警示函措施决定的公告，公告称广东超华科技股份有限公司及相关人员于近日收到中国证券监督管理委员会广东监管局出具的《关于对广东超华科技股份有限公司、梁健锋、梁宏、梁新贤、李敬华采取出具警示函措施的决定》【(2024)198号]。《警示函》显示，经查，超华科技存在信息披露违规行为</w:t>
      </w:r>
      <w:r>
        <w:rPr>
          <w:rFonts w:hint="eastAsia"/>
          <w:lang w:val="en-US" w:eastAsia="zh-CN"/>
        </w:rPr>
        <w:t>。</w:t>
      </w:r>
      <w:r>
        <w:rPr>
          <w:rFonts w:hint="eastAsia" w:ascii="Times New Roman" w:eastAsia="仿宋"/>
          <w:lang w:val="en-US" w:eastAsia="zh-CN"/>
        </w:rPr>
        <w:t>（</w:t>
      </w:r>
      <w:r>
        <w:rPr>
          <w:rFonts w:hint="eastAsia"/>
          <w:lang w:val="en-US" w:eastAsia="zh-CN"/>
        </w:rPr>
        <w:t>WIND</w:t>
      </w:r>
      <w:r>
        <w:rPr>
          <w:rFonts w:hint="eastAsia" w:ascii="Times New Roman" w:eastAsia="仿宋"/>
          <w:lang w:val="en-US" w:eastAsia="zh-CN"/>
        </w:rPr>
        <w:t>）</w:t>
      </w:r>
    </w:p>
    <w:p w14:paraId="28BFD471">
      <w:pPr>
        <w:ind w:firstLine="640" w:firstLineChars="200"/>
        <w:rPr>
          <w:rFonts w:hint="eastAsia" w:ascii="Times New Roman" w:eastAsia="仿宋"/>
          <w:lang w:val="en-US" w:eastAsia="zh-CN"/>
        </w:rPr>
      </w:pPr>
    </w:p>
    <w:p w14:paraId="1DFAE8F6">
      <w:pPr>
        <w:jc w:val="center"/>
        <w:rPr>
          <w:rFonts w:hint="default" w:ascii="黑体" w:hAnsi="黑体" w:eastAsia="黑体" w:cs="黑体"/>
          <w:b/>
          <w:bCs/>
          <w:lang w:val="en-US" w:eastAsia="zh-CN"/>
        </w:rPr>
      </w:pPr>
      <w:r>
        <w:rPr>
          <w:rFonts w:hint="default" w:ascii="黑体" w:hAnsi="黑体" w:eastAsia="黑体" w:cs="黑体"/>
          <w:b/>
          <w:bCs/>
          <w:lang w:val="en-US" w:eastAsia="zh-CN"/>
        </w:rPr>
        <w:t>弘信电子子公司燧弘华创与冀银金租签订融资租赁合同</w:t>
      </w:r>
    </w:p>
    <w:p w14:paraId="4E264B3D">
      <w:pPr>
        <w:ind w:firstLine="640" w:firstLineChars="200"/>
        <w:rPr>
          <w:rFonts w:hint="eastAsia" w:ascii="Times New Roman" w:eastAsia="仿宋"/>
          <w:lang w:val="en-US" w:eastAsia="zh-CN"/>
        </w:rPr>
      </w:pPr>
      <w:r>
        <w:rPr>
          <w:rFonts w:hint="default"/>
          <w:lang w:val="en-US" w:eastAsia="zh-CN"/>
        </w:rPr>
        <w:t>12月24日</w:t>
      </w:r>
      <w:r>
        <w:rPr>
          <w:rFonts w:hint="eastAsia"/>
          <w:lang w:val="en-US" w:eastAsia="zh-CN"/>
        </w:rPr>
        <w:t>，</w:t>
      </w:r>
      <w:r>
        <w:rPr>
          <w:rFonts w:hint="default"/>
          <w:lang w:val="en-US" w:eastAsia="zh-CN"/>
        </w:rPr>
        <w:t>弘信电子公告称，公司控股子公司燧弘华创与冀银金融租赁股份有限公司开展融资租赁业务并签订《融资租赁合同》，租赁总额为20,283.64万元，租赁期限为60个月。公司、公司全资子公司安联通及李强作为保证人，分别与冀银租赁签订《保证合同》，为燧弘华创向冀银租赁开展融资租赁提供连带责任保证担保，担保金额为20,283.64万元；安联通作为出质人与冀银租赁签订《应收账款质押合同》，以其应收账款收款权为出质物，为燧弘华创向冀银租赁开展融资租赁提供质押担保，出质物价值为人民币27,477.00万元。此外，公司作为保证人与厦门银行签署《最高额保证合同》，为公司控股子公司甘肃燧弘人工智能科技有限公司向厦门银行融资提供连带责任保证，担保金额为4,000.00万元。</w:t>
      </w:r>
      <w:r>
        <w:rPr>
          <w:rFonts w:hint="eastAsia" w:ascii="Times New Roman" w:eastAsia="仿宋"/>
          <w:lang w:val="en-US" w:eastAsia="zh-CN"/>
        </w:rPr>
        <w:t>（</w:t>
      </w:r>
      <w:r>
        <w:rPr>
          <w:rFonts w:hint="eastAsia"/>
          <w:lang w:val="en-US" w:eastAsia="zh-CN"/>
        </w:rPr>
        <w:t>工商时报</w:t>
      </w:r>
      <w:r>
        <w:rPr>
          <w:rFonts w:hint="eastAsia" w:ascii="Times New Roman" w:eastAsia="仿宋"/>
          <w:lang w:val="en-US" w:eastAsia="zh-CN"/>
        </w:rPr>
        <w:t>）</w:t>
      </w:r>
    </w:p>
    <w:p w14:paraId="0FFC55A7">
      <w:pPr>
        <w:rPr>
          <w:rFonts w:hint="eastAsia" w:ascii="Times New Roman" w:eastAsia="仿宋"/>
          <w:lang w:val="en-US" w:eastAsia="zh-CN"/>
        </w:rPr>
      </w:pPr>
    </w:p>
    <w:p w14:paraId="594D2BCF">
      <w:pPr>
        <w:jc w:val="center"/>
        <w:rPr>
          <w:rFonts w:hint="default" w:ascii="黑体" w:hAnsi="黑体" w:eastAsia="黑体" w:cs="黑体"/>
          <w:b/>
          <w:bCs/>
          <w:lang w:val="en-US" w:eastAsia="zh-CN"/>
        </w:rPr>
      </w:pPr>
      <w:r>
        <w:rPr>
          <w:rFonts w:hint="default" w:ascii="黑体" w:hAnsi="黑体" w:eastAsia="黑体" w:cs="黑体"/>
          <w:b/>
          <w:bCs/>
          <w:lang w:val="en-US" w:eastAsia="zh-CN"/>
        </w:rPr>
        <w:t>江西红板科技股份有限公司年产120万平方米高精密电路板项目开工</w:t>
      </w:r>
    </w:p>
    <w:p w14:paraId="42C3CFE9">
      <w:pPr>
        <w:ind w:firstLine="640" w:firstLineChars="200"/>
        <w:rPr>
          <w:rFonts w:hint="eastAsia" w:ascii="Times New Roman" w:eastAsia="仿宋"/>
          <w:lang w:val="en-US" w:eastAsia="zh-CN"/>
        </w:rPr>
      </w:pPr>
      <w:r>
        <w:rPr>
          <w:rFonts w:hint="default"/>
          <w:lang w:val="en-US" w:eastAsia="zh-CN"/>
        </w:rPr>
        <w:t>12月24日，江西红板科技股份有限公司年产120万平方米高精密电路板项目开工仪式在井冈山经开区举行。市委常委、副市长、区党工委书记傅正华下达项目开工令。区党工委副书记、管委会主任黄国栋致辞。江西红板科技股份有限公司董事长叶森然，区领导戴志敏、王安、黄艳晴、黎小将、伍有君出席开工仪式。区党工委委员、管委会副主任刘平主持。</w:t>
      </w:r>
      <w:r>
        <w:rPr>
          <w:rFonts w:hint="eastAsia" w:ascii="Times New Roman" w:eastAsia="仿宋"/>
          <w:lang w:val="en-US" w:eastAsia="zh-CN"/>
        </w:rPr>
        <w:t>（</w:t>
      </w:r>
      <w:r>
        <w:rPr>
          <w:rFonts w:hint="eastAsia"/>
          <w:lang w:val="en-US" w:eastAsia="zh-CN"/>
        </w:rPr>
        <w:t>国家级井冈山经开区</w:t>
      </w:r>
      <w:r>
        <w:rPr>
          <w:rFonts w:hint="eastAsia" w:ascii="Times New Roman" w:eastAsia="仿宋"/>
          <w:lang w:val="en-US" w:eastAsia="zh-CN"/>
        </w:rPr>
        <w:t>）</w:t>
      </w:r>
    </w:p>
    <w:p w14:paraId="637055A2">
      <w:pPr>
        <w:rPr>
          <w:rFonts w:hint="eastAsia" w:ascii="Times New Roman" w:eastAsia="仿宋"/>
          <w:lang w:val="en-US" w:eastAsia="zh-CN"/>
        </w:rPr>
      </w:pPr>
    </w:p>
    <w:p w14:paraId="24B275AD">
      <w:pPr>
        <w:jc w:val="center"/>
        <w:rPr>
          <w:rFonts w:hint="default" w:ascii="黑体" w:hAnsi="黑体" w:eastAsia="黑体" w:cs="黑体"/>
          <w:b/>
          <w:bCs/>
          <w:lang w:val="en-US" w:eastAsia="zh-CN"/>
        </w:rPr>
      </w:pPr>
      <w:r>
        <w:rPr>
          <w:rFonts w:hint="default" w:ascii="黑体" w:hAnsi="黑体" w:eastAsia="黑体" w:cs="黑体"/>
          <w:b/>
          <w:bCs/>
          <w:lang w:val="en-US" w:eastAsia="zh-CN"/>
        </w:rPr>
        <w:t>深南电路：封装基板FC-BGA技术实现部分突破</w:t>
      </w:r>
    </w:p>
    <w:p w14:paraId="28802B54">
      <w:pPr>
        <w:ind w:firstLine="640" w:firstLineChars="200"/>
        <w:rPr>
          <w:rFonts w:hint="eastAsia"/>
          <w:lang w:val="en-US" w:eastAsia="zh-CN"/>
        </w:rPr>
      </w:pPr>
      <w:r>
        <w:rPr>
          <w:rFonts w:hint="default"/>
          <w:lang w:val="en-US" w:eastAsia="zh-CN"/>
        </w:rPr>
        <w:t>12月25日，深南电路披露投资者关系活动记录表显示公司PCB业务主要产品下游应用以通信设备为核心，覆盖无线侧及有线侧通信，重点布局数据中心（含服务器）、汽车电子（聚焦新能源和ADAS方向）等领域，同时深耕工控和医疗领域。伴随AI技术发展，公司在高速通信网络、数据中心交换机、AI加速卡等领域的PCB产品需求显著提升。公司封装基板已实现部分FC-BGA技术能力突破，16层及以下产品具备批量生产能力，20层产品送样认证工作正在推进中。</w:t>
      </w:r>
      <w:r>
        <w:rPr>
          <w:rFonts w:hint="eastAsia"/>
          <w:lang w:val="en-US" w:eastAsia="zh-CN"/>
        </w:rPr>
        <w:t>（金融界）</w:t>
      </w:r>
    </w:p>
    <w:p w14:paraId="1F7F59C3">
      <w:pPr>
        <w:jc w:val="center"/>
        <w:rPr>
          <w:rFonts w:hint="default" w:ascii="黑体" w:hAnsi="黑体" w:eastAsia="黑体" w:cs="黑体"/>
          <w:b/>
          <w:bCs/>
          <w:lang w:val="en-US" w:eastAsia="zh-CN"/>
        </w:rPr>
      </w:pPr>
      <w:r>
        <w:rPr>
          <w:rFonts w:hint="default" w:ascii="黑体" w:hAnsi="黑体" w:eastAsia="黑体" w:cs="黑体"/>
          <w:b/>
          <w:bCs/>
          <w:lang w:val="en-US" w:eastAsia="zh-CN"/>
        </w:rPr>
        <w:t>腾辉电子(泰国)有限公司</w:t>
      </w:r>
      <w:r>
        <w:rPr>
          <w:rFonts w:hint="eastAsia" w:ascii="黑体" w:hAnsi="黑体" w:eastAsia="黑体" w:cs="黑体"/>
          <w:b/>
          <w:bCs/>
          <w:lang w:val="en-US" w:eastAsia="zh-CN"/>
        </w:rPr>
        <w:t>成立</w:t>
      </w:r>
    </w:p>
    <w:p w14:paraId="5DF982F2">
      <w:pPr>
        <w:ind w:firstLine="640" w:firstLineChars="200"/>
        <w:rPr>
          <w:rFonts w:hint="default"/>
          <w:lang w:val="en-US" w:eastAsia="zh-CN"/>
        </w:rPr>
      </w:pPr>
      <w:r>
        <w:rPr>
          <w:rFonts w:hint="default"/>
          <w:lang w:val="en-US" w:eastAsia="zh-CN"/>
        </w:rPr>
        <w:t>12月23日，台资CCL和PP制造商腾辉电子(6672.TW)宣布，其全资子公司Ventec International Group Limited(SAMOA)以自有资金投资1.6亿泰铢(约合3412万人民币)，新设泰国子公司——腾辉电子(泰国)有限公司。腾辉电子(泰国)有限公司(Ventec Electronics (Thailand) Co., Ltd.)于2024年12月19日正式注册成立，注册资本为6.4亿泰铢。腾辉电子将在泰国曼谷北部大城府高科技工业园区建新厂，面积预计近50亩。附近是已开发多年工业区并已形成PCB聚落，供应链相对成熟。</w:t>
      </w:r>
      <w:r>
        <w:rPr>
          <w:rFonts w:hint="eastAsia" w:ascii="Times New Roman" w:eastAsia="仿宋"/>
          <w:lang w:val="en-US" w:eastAsia="zh-CN"/>
        </w:rPr>
        <w:t>（</w:t>
      </w:r>
      <w:r>
        <w:rPr>
          <w:rFonts w:hint="eastAsia"/>
          <w:lang w:val="en-US" w:eastAsia="zh-CN"/>
        </w:rPr>
        <w:t>工商时报</w:t>
      </w:r>
      <w:r>
        <w:rPr>
          <w:rFonts w:hint="eastAsia" w:ascii="Times New Roman" w:eastAsia="仿宋"/>
          <w:lang w:val="en-US" w:eastAsia="zh-CN"/>
        </w:rPr>
        <w:t>）</w:t>
      </w:r>
    </w:p>
    <w:p w14:paraId="20C45FEE">
      <w:pPr>
        <w:ind w:firstLine="640" w:firstLineChars="200"/>
        <w:rPr>
          <w:rFonts w:hint="default"/>
          <w:lang w:val="en-US" w:eastAsia="zh-CN"/>
        </w:rPr>
      </w:pPr>
    </w:p>
    <w:p w14:paraId="634CD8DE">
      <w:pPr>
        <w:bidi w:val="0"/>
        <w:rPr>
          <w:rFonts w:hint="default"/>
          <w:lang w:val="en-US" w:eastAsia="zh-CN"/>
        </w:rPr>
      </w:pPr>
      <w:r>
        <w:rPr>
          <w:rFonts w:hint="default"/>
          <w:lang w:val="en-US" w:eastAsia="zh-CN"/>
        </w:rPr>
        <w:drawing>
          <wp:inline distT="0" distB="0" distL="114300" distR="114300">
            <wp:extent cx="5256530" cy="2957195"/>
            <wp:effectExtent l="0" t="0" r="1270" b="1905"/>
            <wp:docPr id="2" name="图片 2" descr="776564eff1e2e0b31fd36783ad8bb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76564eff1e2e0b31fd36783ad8bb1a"/>
                    <pic:cNvPicPr>
                      <a:picLocks noChangeAspect="1"/>
                    </pic:cNvPicPr>
                  </pic:nvPicPr>
                  <pic:blipFill>
                    <a:blip r:embed="rId7"/>
                    <a:stretch>
                      <a:fillRect/>
                    </a:stretch>
                  </pic:blipFill>
                  <pic:spPr>
                    <a:xfrm>
                      <a:off x="0" y="0"/>
                      <a:ext cx="5256530" cy="2957195"/>
                    </a:xfrm>
                    <a:prstGeom prst="rect">
                      <a:avLst/>
                    </a:prstGeom>
                  </pic:spPr>
                </pic:pic>
              </a:graphicData>
            </a:graphic>
          </wp:inline>
        </w:drawing>
      </w:r>
    </w:p>
    <w:p w14:paraId="48AB36BB">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 CPCA 服务号</w:t>
      </w:r>
    </w:p>
    <w:p w14:paraId="56539B09">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02BF6BF2">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583523D6">
      <w:pPr>
        <w:widowControl w:val="0"/>
        <w:bidi w:val="0"/>
        <w:spacing w:line="240" w:lineRule="auto"/>
        <w:ind w:left="0" w:leftChars="0" w:firstLine="0" w:firstLineChars="0"/>
        <w:jc w:val="right"/>
        <w:rPr>
          <w:rFonts w:hint="default"/>
          <w:lang w:val="en-US" w:eastAsia="zh-CN"/>
        </w:rPr>
      </w:pPr>
      <w: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8"/>
                    <a:stretch>
                      <a:fillRect/>
                    </a:stretch>
                  </pic:blipFill>
                  <pic:spPr>
                    <a:xfrm>
                      <a:off x="0" y="0"/>
                      <a:ext cx="1187450" cy="1168400"/>
                    </a:xfrm>
                    <a:prstGeom prst="rect">
                      <a:avLst/>
                    </a:prstGeom>
                    <a:noFill/>
                    <a:ln>
                      <a:noFill/>
                    </a:ln>
                  </pic:spPr>
                </pic:pic>
              </a:graphicData>
            </a:graphic>
          </wp:inline>
        </w:drawing>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CAC2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0BA7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00BA7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zOWMyNjJmMjNlODM4ZmI5MmQxODQ5NGE2NzgyZGMifQ=="/>
  </w:docVars>
  <w:rsids>
    <w:rsidRoot w:val="00172A27"/>
    <w:rsid w:val="008F6183"/>
    <w:rsid w:val="01785675"/>
    <w:rsid w:val="01DC7DD6"/>
    <w:rsid w:val="01DF631E"/>
    <w:rsid w:val="02376B7A"/>
    <w:rsid w:val="047732AA"/>
    <w:rsid w:val="049727D9"/>
    <w:rsid w:val="04CD32E2"/>
    <w:rsid w:val="057F11D8"/>
    <w:rsid w:val="06CC35FE"/>
    <w:rsid w:val="07AD5543"/>
    <w:rsid w:val="09834103"/>
    <w:rsid w:val="0A21302B"/>
    <w:rsid w:val="0A46280F"/>
    <w:rsid w:val="0A977BD6"/>
    <w:rsid w:val="0AFA5870"/>
    <w:rsid w:val="0B3F58BD"/>
    <w:rsid w:val="0B494101"/>
    <w:rsid w:val="0B6426D4"/>
    <w:rsid w:val="0B78105E"/>
    <w:rsid w:val="0B9176F8"/>
    <w:rsid w:val="0C9B6BDE"/>
    <w:rsid w:val="0CCF6098"/>
    <w:rsid w:val="0D9373FE"/>
    <w:rsid w:val="0DAC478F"/>
    <w:rsid w:val="0E47788B"/>
    <w:rsid w:val="0F046CBD"/>
    <w:rsid w:val="0F601A19"/>
    <w:rsid w:val="0F9E17AE"/>
    <w:rsid w:val="100920B1"/>
    <w:rsid w:val="104666EA"/>
    <w:rsid w:val="110E73FF"/>
    <w:rsid w:val="111028B5"/>
    <w:rsid w:val="11771034"/>
    <w:rsid w:val="124F6B19"/>
    <w:rsid w:val="12DA74B7"/>
    <w:rsid w:val="12DB66FD"/>
    <w:rsid w:val="12F91530"/>
    <w:rsid w:val="138676EA"/>
    <w:rsid w:val="14C12F5A"/>
    <w:rsid w:val="15251B3B"/>
    <w:rsid w:val="1526048F"/>
    <w:rsid w:val="15DB7145"/>
    <w:rsid w:val="15E46F00"/>
    <w:rsid w:val="16960A92"/>
    <w:rsid w:val="16BC1C2B"/>
    <w:rsid w:val="16CF0148"/>
    <w:rsid w:val="17062EEA"/>
    <w:rsid w:val="182267CA"/>
    <w:rsid w:val="18A46E1B"/>
    <w:rsid w:val="199B6470"/>
    <w:rsid w:val="1A622AE9"/>
    <w:rsid w:val="1A8C739D"/>
    <w:rsid w:val="1B72369B"/>
    <w:rsid w:val="1B842559"/>
    <w:rsid w:val="1C2516BD"/>
    <w:rsid w:val="1E5209CD"/>
    <w:rsid w:val="1E645BF0"/>
    <w:rsid w:val="1EB9047B"/>
    <w:rsid w:val="1F3F651D"/>
    <w:rsid w:val="1FFE35CC"/>
    <w:rsid w:val="200C07F7"/>
    <w:rsid w:val="20897E6F"/>
    <w:rsid w:val="20BD71EB"/>
    <w:rsid w:val="20BE2B76"/>
    <w:rsid w:val="20CC0EE2"/>
    <w:rsid w:val="21C04BDE"/>
    <w:rsid w:val="21CB236C"/>
    <w:rsid w:val="22E43154"/>
    <w:rsid w:val="2489657E"/>
    <w:rsid w:val="24B27142"/>
    <w:rsid w:val="251A5E6D"/>
    <w:rsid w:val="26F9200B"/>
    <w:rsid w:val="270A498F"/>
    <w:rsid w:val="278F5BF6"/>
    <w:rsid w:val="27B4797D"/>
    <w:rsid w:val="2859111F"/>
    <w:rsid w:val="28E16914"/>
    <w:rsid w:val="29BE15E9"/>
    <w:rsid w:val="2A5C5AFE"/>
    <w:rsid w:val="2A720D08"/>
    <w:rsid w:val="2B2524AF"/>
    <w:rsid w:val="2B312C8E"/>
    <w:rsid w:val="2C622E1D"/>
    <w:rsid w:val="2C7B02A7"/>
    <w:rsid w:val="2C8E7905"/>
    <w:rsid w:val="2CD53B9A"/>
    <w:rsid w:val="2CD77367"/>
    <w:rsid w:val="2D2626A0"/>
    <w:rsid w:val="2EF7039C"/>
    <w:rsid w:val="2F2D6FB5"/>
    <w:rsid w:val="2F6B4AD8"/>
    <w:rsid w:val="30797214"/>
    <w:rsid w:val="30EA07CC"/>
    <w:rsid w:val="313E5C07"/>
    <w:rsid w:val="31903FB7"/>
    <w:rsid w:val="31C0661C"/>
    <w:rsid w:val="325524D0"/>
    <w:rsid w:val="325A0517"/>
    <w:rsid w:val="32EB188E"/>
    <w:rsid w:val="33A05842"/>
    <w:rsid w:val="33B80305"/>
    <w:rsid w:val="33E62FE3"/>
    <w:rsid w:val="3442486C"/>
    <w:rsid w:val="34D423BC"/>
    <w:rsid w:val="350E5A19"/>
    <w:rsid w:val="35130D79"/>
    <w:rsid w:val="35284C04"/>
    <w:rsid w:val="35523A2F"/>
    <w:rsid w:val="35734034"/>
    <w:rsid w:val="36FA437E"/>
    <w:rsid w:val="3783091D"/>
    <w:rsid w:val="37A7315E"/>
    <w:rsid w:val="3885411B"/>
    <w:rsid w:val="38F44DFD"/>
    <w:rsid w:val="39273424"/>
    <w:rsid w:val="3AC73557"/>
    <w:rsid w:val="3AE8373F"/>
    <w:rsid w:val="3AF712CC"/>
    <w:rsid w:val="3B170BE2"/>
    <w:rsid w:val="3B66696F"/>
    <w:rsid w:val="3B835876"/>
    <w:rsid w:val="3BCD47A7"/>
    <w:rsid w:val="3BFA4E20"/>
    <w:rsid w:val="3C402568"/>
    <w:rsid w:val="3E526AD0"/>
    <w:rsid w:val="41517290"/>
    <w:rsid w:val="41BA2786"/>
    <w:rsid w:val="42861B49"/>
    <w:rsid w:val="43821181"/>
    <w:rsid w:val="43F54889"/>
    <w:rsid w:val="4414020A"/>
    <w:rsid w:val="44B50487"/>
    <w:rsid w:val="44EE629A"/>
    <w:rsid w:val="4517434D"/>
    <w:rsid w:val="45290F66"/>
    <w:rsid w:val="45413DFD"/>
    <w:rsid w:val="470D5B9F"/>
    <w:rsid w:val="47E524E0"/>
    <w:rsid w:val="4860600B"/>
    <w:rsid w:val="48B122FB"/>
    <w:rsid w:val="49624874"/>
    <w:rsid w:val="496C7652"/>
    <w:rsid w:val="4AD72DEE"/>
    <w:rsid w:val="4AE239CC"/>
    <w:rsid w:val="4B7A2929"/>
    <w:rsid w:val="4BB16EEF"/>
    <w:rsid w:val="4D761E2D"/>
    <w:rsid w:val="4DBA440F"/>
    <w:rsid w:val="4E1C41B2"/>
    <w:rsid w:val="4F92297F"/>
    <w:rsid w:val="4FE9329C"/>
    <w:rsid w:val="50255A1F"/>
    <w:rsid w:val="50393156"/>
    <w:rsid w:val="51267CC7"/>
    <w:rsid w:val="513545B7"/>
    <w:rsid w:val="51C21231"/>
    <w:rsid w:val="523A7692"/>
    <w:rsid w:val="5295690B"/>
    <w:rsid w:val="52DB4C0C"/>
    <w:rsid w:val="530C1269"/>
    <w:rsid w:val="53114AD1"/>
    <w:rsid w:val="534A4FB9"/>
    <w:rsid w:val="536B2F01"/>
    <w:rsid w:val="53C52D94"/>
    <w:rsid w:val="54353276"/>
    <w:rsid w:val="548062A4"/>
    <w:rsid w:val="553706EB"/>
    <w:rsid w:val="5562296B"/>
    <w:rsid w:val="55C776C9"/>
    <w:rsid w:val="562F41C2"/>
    <w:rsid w:val="570606C5"/>
    <w:rsid w:val="591B0458"/>
    <w:rsid w:val="5949510A"/>
    <w:rsid w:val="59495621"/>
    <w:rsid w:val="599124C8"/>
    <w:rsid w:val="5B61236E"/>
    <w:rsid w:val="5BEF3A8F"/>
    <w:rsid w:val="5C0963CE"/>
    <w:rsid w:val="5C261656"/>
    <w:rsid w:val="5C85148E"/>
    <w:rsid w:val="5CEB6F53"/>
    <w:rsid w:val="5D221AE7"/>
    <w:rsid w:val="5DCB39AA"/>
    <w:rsid w:val="5DCC6423"/>
    <w:rsid w:val="5E472FDC"/>
    <w:rsid w:val="5E510478"/>
    <w:rsid w:val="5E543AC4"/>
    <w:rsid w:val="5EEB03CB"/>
    <w:rsid w:val="5F0977F9"/>
    <w:rsid w:val="61E138C1"/>
    <w:rsid w:val="63D3192F"/>
    <w:rsid w:val="642A6415"/>
    <w:rsid w:val="646A0BE9"/>
    <w:rsid w:val="64A84C97"/>
    <w:rsid w:val="65077C97"/>
    <w:rsid w:val="65270184"/>
    <w:rsid w:val="65493C57"/>
    <w:rsid w:val="65736F26"/>
    <w:rsid w:val="65BF14FC"/>
    <w:rsid w:val="65DC06B2"/>
    <w:rsid w:val="66331F5B"/>
    <w:rsid w:val="67A506C3"/>
    <w:rsid w:val="67D27072"/>
    <w:rsid w:val="6932738D"/>
    <w:rsid w:val="695D4175"/>
    <w:rsid w:val="69FA1037"/>
    <w:rsid w:val="6A123A14"/>
    <w:rsid w:val="6A334ED5"/>
    <w:rsid w:val="6A771286"/>
    <w:rsid w:val="6A94006A"/>
    <w:rsid w:val="6AA31459"/>
    <w:rsid w:val="6ACD604F"/>
    <w:rsid w:val="6B184A21"/>
    <w:rsid w:val="6C8F0A29"/>
    <w:rsid w:val="6CD17894"/>
    <w:rsid w:val="6D0914F3"/>
    <w:rsid w:val="6D565020"/>
    <w:rsid w:val="6D635AD2"/>
    <w:rsid w:val="6E20323A"/>
    <w:rsid w:val="6E71421E"/>
    <w:rsid w:val="6F401113"/>
    <w:rsid w:val="6F47651F"/>
    <w:rsid w:val="703674CE"/>
    <w:rsid w:val="70B623BC"/>
    <w:rsid w:val="712F0AD2"/>
    <w:rsid w:val="71B8286E"/>
    <w:rsid w:val="72B2653C"/>
    <w:rsid w:val="73946B2F"/>
    <w:rsid w:val="74576EE0"/>
    <w:rsid w:val="74B8340E"/>
    <w:rsid w:val="74BC1E14"/>
    <w:rsid w:val="77025C02"/>
    <w:rsid w:val="77A576CA"/>
    <w:rsid w:val="78903D77"/>
    <w:rsid w:val="789F5C2E"/>
    <w:rsid w:val="78BE62B2"/>
    <w:rsid w:val="793D02F4"/>
    <w:rsid w:val="79576B39"/>
    <w:rsid w:val="7A3309A2"/>
    <w:rsid w:val="7AD65B35"/>
    <w:rsid w:val="7B8A47A6"/>
    <w:rsid w:val="7BC95581"/>
    <w:rsid w:val="7BF15DB3"/>
    <w:rsid w:val="7C981F04"/>
    <w:rsid w:val="7DEA794F"/>
    <w:rsid w:val="7EC21B12"/>
    <w:rsid w:val="7EEB157F"/>
    <w:rsid w:val="7F66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Times New Roman" w:hAnsi="Times New Roman" w:eastAsia="仿宋" w:cstheme="minorBidi"/>
      <w:kern w:val="2"/>
      <w:sz w:val="32"/>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3758</Words>
  <Characters>4255</Characters>
  <Lines>1</Lines>
  <Paragraphs>1</Paragraphs>
  <TotalTime>1</TotalTime>
  <ScaleCrop>false</ScaleCrop>
  <LinksUpToDate>false</LinksUpToDate>
  <CharactersWithSpaces>4314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2023-12-11T07:38:00Z</dcterms:created>
  <dc:creator>国旗</dc:creator>
  <cp:lastModifiedBy>国旗</cp:lastModifiedBy>
  <dcterms:modified xsi:type="dcterms:W3CDTF">2024-12-26T07:25:33Z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AF2C411A83C546F3B93AA73000AE5CFF_13</vt:lpwstr>
  </property>
  <property fmtid="{D5CDD505-2E9C-101B-9397-08002B2CF9AE}" pid="4" name="KSOTemplateDocerSaveRecord">
    <vt:lpwstr>eyJoZGlkIjoiZWFlNjQ3NDIwZDEwN2RkZjI5ZmVhOGI2NjVlYTBkMTciLCJ1c2VySWQiOiIxMzgyMTM1ODU2In0=</vt:lpwstr>
  </property>
</Properties>
</file>